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DE816E" w14:textId="77777777" w:rsidR="00FE200F" w:rsidRDefault="00FE200F">
      <w:pPr>
        <w:pStyle w:val="Heading2"/>
        <w:spacing w:line="276" w:lineRule="auto"/>
        <w:jc w:val="center"/>
        <w:rPr>
          <w:rFonts w:ascii="Times New Roman" w:hAnsi="Times New Roman" w:cs="Times New Roman"/>
          <w:color w:val="auto"/>
          <w:sz w:val="40"/>
          <w:szCs w:val="36"/>
          <w:lang w:val="mk-MK"/>
        </w:rPr>
      </w:pPr>
      <w:bookmarkStart w:id="0" w:name="_GoBack"/>
      <w:bookmarkEnd w:id="0"/>
    </w:p>
    <w:p w14:paraId="1B1826AA" w14:textId="77777777" w:rsidR="00FE200F" w:rsidRDefault="00FE200F">
      <w:pPr>
        <w:pStyle w:val="Heading2"/>
        <w:spacing w:line="276" w:lineRule="auto"/>
        <w:jc w:val="center"/>
        <w:rPr>
          <w:rFonts w:ascii="Times New Roman" w:hAnsi="Times New Roman" w:cs="Times New Roman"/>
          <w:color w:val="auto"/>
          <w:sz w:val="40"/>
          <w:szCs w:val="36"/>
          <w:lang w:val="mk-MK"/>
        </w:rPr>
      </w:pPr>
    </w:p>
    <w:p w14:paraId="08900919" w14:textId="77777777" w:rsidR="00FE200F" w:rsidRDefault="00FE200F">
      <w:pPr>
        <w:pStyle w:val="Heading2"/>
        <w:spacing w:line="276" w:lineRule="auto"/>
        <w:jc w:val="center"/>
        <w:rPr>
          <w:rFonts w:ascii="Times New Roman" w:hAnsi="Times New Roman" w:cs="Times New Roman"/>
          <w:color w:val="auto"/>
          <w:sz w:val="40"/>
          <w:szCs w:val="36"/>
          <w:lang w:val="mk-MK"/>
        </w:rPr>
      </w:pPr>
    </w:p>
    <w:p w14:paraId="18B9C68C" w14:textId="77777777" w:rsidR="00FE200F" w:rsidRDefault="00FE200F">
      <w:pPr>
        <w:pStyle w:val="Heading2"/>
        <w:spacing w:line="276" w:lineRule="auto"/>
        <w:jc w:val="center"/>
        <w:rPr>
          <w:rFonts w:ascii="Times New Roman" w:hAnsi="Times New Roman" w:cs="Times New Roman"/>
          <w:color w:val="auto"/>
          <w:sz w:val="40"/>
          <w:szCs w:val="36"/>
          <w:lang w:val="mk-MK"/>
        </w:rPr>
      </w:pPr>
    </w:p>
    <w:p w14:paraId="2A02A0C2" w14:textId="77777777" w:rsidR="00FE200F" w:rsidRDefault="00FE200F">
      <w:pPr>
        <w:pStyle w:val="Heading2"/>
        <w:spacing w:line="276" w:lineRule="auto"/>
        <w:jc w:val="center"/>
        <w:rPr>
          <w:rFonts w:ascii="Times New Roman" w:hAnsi="Times New Roman" w:cs="Times New Roman"/>
          <w:color w:val="auto"/>
          <w:sz w:val="40"/>
          <w:szCs w:val="36"/>
          <w:lang w:val="mk-MK"/>
        </w:rPr>
      </w:pPr>
    </w:p>
    <w:p w14:paraId="41DDF949" w14:textId="77777777" w:rsidR="00FE200F" w:rsidRDefault="00FE200F">
      <w:pPr>
        <w:pStyle w:val="Heading2"/>
        <w:spacing w:line="276" w:lineRule="auto"/>
        <w:jc w:val="center"/>
        <w:rPr>
          <w:rFonts w:ascii="Times New Roman" w:hAnsi="Times New Roman" w:cs="Times New Roman"/>
          <w:color w:val="auto"/>
          <w:sz w:val="40"/>
          <w:szCs w:val="36"/>
          <w:lang w:val="mk-MK"/>
        </w:rPr>
      </w:pPr>
    </w:p>
    <w:p w14:paraId="7BB131F1" w14:textId="56A34F96" w:rsidR="00FE200F" w:rsidRDefault="00E77CAF">
      <w:pPr>
        <w:pStyle w:val="Heading2"/>
        <w:spacing w:line="276" w:lineRule="auto"/>
        <w:jc w:val="center"/>
        <w:rPr>
          <w:rFonts w:ascii="Times New Roman" w:hAnsi="Times New Roman" w:cs="Times New Roman"/>
          <w:color w:val="auto"/>
          <w:sz w:val="40"/>
          <w:szCs w:val="36"/>
          <w:lang w:val="mk-MK"/>
        </w:rPr>
      </w:pPr>
      <w:bookmarkStart w:id="1" w:name="_Toc240630026"/>
      <w:bookmarkStart w:id="2" w:name="_Toc243907969"/>
      <w:r>
        <w:rPr>
          <w:rFonts w:ascii="Times New Roman" w:hAnsi="Times New Roman" w:cs="Times New Roman"/>
          <w:color w:val="auto"/>
          <w:sz w:val="40"/>
          <w:szCs w:val="36"/>
          <w:lang w:val="mk-MK"/>
        </w:rPr>
        <w:t>Стратегија за употреба на вештачка интелигенција</w:t>
      </w:r>
      <w:r w:rsidR="00D83ADD">
        <w:rPr>
          <w:rFonts w:ascii="Times New Roman" w:hAnsi="Times New Roman" w:cs="Times New Roman"/>
          <w:color w:val="auto"/>
          <w:sz w:val="40"/>
          <w:szCs w:val="36"/>
          <w:lang w:val="mk-MK"/>
        </w:rPr>
        <w:t>:</w:t>
      </w:r>
      <w:r>
        <w:rPr>
          <w:rFonts w:ascii="Times New Roman" w:hAnsi="Times New Roman" w:cs="Times New Roman"/>
          <w:color w:val="auto"/>
          <w:sz w:val="40"/>
          <w:szCs w:val="36"/>
          <w:lang w:val="mk-MK"/>
        </w:rPr>
        <w:t xml:space="preserve"> </w:t>
      </w:r>
      <w:bookmarkEnd w:id="1"/>
      <w:r w:rsidR="00D83ADD">
        <w:rPr>
          <w:rFonts w:ascii="Times New Roman" w:hAnsi="Times New Roman" w:cs="Times New Roman"/>
          <w:color w:val="auto"/>
          <w:sz w:val="40"/>
          <w:szCs w:val="36"/>
          <w:lang w:val="mk-MK"/>
        </w:rPr>
        <w:t>ВИзија 2032</w:t>
      </w:r>
      <w:bookmarkEnd w:id="2"/>
    </w:p>
    <w:p w14:paraId="75D96CC8" w14:textId="77777777" w:rsidR="00D83ADD" w:rsidRDefault="00D83ADD" w:rsidP="00D83ADD">
      <w:pPr>
        <w:rPr>
          <w:lang w:val="mk-MK"/>
        </w:rPr>
      </w:pPr>
    </w:p>
    <w:p w14:paraId="7B566A4E" w14:textId="77777777" w:rsidR="00D83ADD" w:rsidRDefault="00D83ADD" w:rsidP="00D83ADD">
      <w:pPr>
        <w:rPr>
          <w:lang w:val="mk-MK"/>
        </w:rPr>
      </w:pPr>
    </w:p>
    <w:p w14:paraId="42D0F0FA" w14:textId="4D03C51F" w:rsidR="00D83ADD" w:rsidRDefault="00D83ADD" w:rsidP="00D83ADD">
      <w:pPr>
        <w:rPr>
          <w:lang w:val="mk-MK"/>
        </w:rPr>
      </w:pPr>
    </w:p>
    <w:p w14:paraId="57D5F53E" w14:textId="5889DBE4" w:rsidR="00D83ADD" w:rsidRDefault="00D83ADD">
      <w:pPr>
        <w:spacing w:after="0" w:line="240" w:lineRule="auto"/>
        <w:rPr>
          <w:rFonts w:ascii="Times New Roman" w:hAnsi="Times New Roman" w:cs="Times New Roman"/>
          <w:b/>
          <w:color w:val="auto"/>
          <w:lang w:val="mk-MK"/>
        </w:rPr>
      </w:pPr>
      <w:r>
        <w:rPr>
          <w:rFonts w:ascii="Times New Roman" w:hAnsi="Times New Roman" w:cs="Times New Roman"/>
          <w:b/>
          <w:color w:val="auto"/>
          <w:lang w:val="mk-MK"/>
        </w:rPr>
        <w:br w:type="page"/>
      </w:r>
    </w:p>
    <w:sdt>
      <w:sdtPr>
        <w:rPr>
          <w:rFonts w:ascii="Calibri" w:eastAsia="MS Mincho" w:hAnsi="Calibri" w:cs="Noto Sans Devanagari"/>
          <w:b w:val="0"/>
          <w:bCs w:val="0"/>
          <w:color w:val="1A1A1A"/>
          <w:sz w:val="22"/>
          <w:szCs w:val="22"/>
        </w:rPr>
        <w:id w:val="1254635223"/>
        <w:docPartObj>
          <w:docPartGallery w:val="Table of Contents"/>
          <w:docPartUnique/>
        </w:docPartObj>
      </w:sdtPr>
      <w:sdtEndPr/>
      <w:sdtContent>
        <w:p w14:paraId="7C8FE325" w14:textId="77777777" w:rsidR="00FE200F" w:rsidRDefault="00E77CAF">
          <w:pPr>
            <w:pStyle w:val="TOCHeading"/>
          </w:pPr>
          <w:r>
            <w:t>СОДРЖИНА</w:t>
          </w:r>
        </w:p>
        <w:p w14:paraId="310AB955" w14:textId="15066D7B" w:rsidR="00D83ADD" w:rsidRDefault="00E77CAF">
          <w:pPr>
            <w:pStyle w:val="TOC2"/>
            <w:rPr>
              <w:rFonts w:asciiTheme="minorHAnsi" w:eastAsiaTheme="minorEastAsia" w:hAnsiTheme="minorHAnsi" w:cstheme="minorBidi"/>
              <w:noProof/>
              <w:color w:val="auto"/>
              <w:kern w:val="2"/>
              <w:sz w:val="24"/>
              <w:szCs w:val="24"/>
              <w:lang w:val="en-GB" w:eastAsia="en-GB"/>
              <w14:ligatures w14:val="standardContextual"/>
            </w:rPr>
          </w:pPr>
          <w:r>
            <w:fldChar w:fldCharType="begin"/>
          </w:r>
          <w:r>
            <w:rPr>
              <w:rStyle w:val="IndexLink"/>
            </w:rPr>
            <w:instrText xml:space="preserve"> TOC \f \o "1-3" \h</w:instrText>
          </w:r>
          <w:r>
            <w:rPr>
              <w:rStyle w:val="IndexLink"/>
            </w:rPr>
            <w:fldChar w:fldCharType="separate"/>
          </w:r>
          <w:hyperlink w:anchor="_Toc243907969" w:history="1">
            <w:r w:rsidR="00D83ADD" w:rsidRPr="009D0911">
              <w:rPr>
                <w:rStyle w:val="Hyperlink"/>
                <w:rFonts w:ascii="Times New Roman" w:hAnsi="Times New Roman" w:cs="Times New Roman"/>
                <w:noProof/>
                <w:lang w:val="mk-MK"/>
              </w:rPr>
              <w:t>Стратегија за употреба на вештачка интелигенција: ВИзија 2032</w:t>
            </w:r>
            <w:r w:rsidR="00D83ADD">
              <w:rPr>
                <w:noProof/>
              </w:rPr>
              <w:tab/>
            </w:r>
            <w:r w:rsidR="00D83ADD">
              <w:rPr>
                <w:noProof/>
              </w:rPr>
              <w:fldChar w:fldCharType="begin"/>
            </w:r>
            <w:r w:rsidR="00D83ADD">
              <w:rPr>
                <w:noProof/>
              </w:rPr>
              <w:instrText xml:space="preserve"> PAGEREF _Toc243907969 \h </w:instrText>
            </w:r>
            <w:r w:rsidR="00D83ADD">
              <w:rPr>
                <w:noProof/>
              </w:rPr>
            </w:r>
            <w:r w:rsidR="00D83ADD">
              <w:rPr>
                <w:noProof/>
              </w:rPr>
              <w:fldChar w:fldCharType="separate"/>
            </w:r>
            <w:r w:rsidR="00D83ADD">
              <w:rPr>
                <w:noProof/>
              </w:rPr>
              <w:t>1</w:t>
            </w:r>
            <w:r w:rsidR="00D83ADD">
              <w:rPr>
                <w:noProof/>
              </w:rPr>
              <w:fldChar w:fldCharType="end"/>
            </w:r>
          </w:hyperlink>
        </w:p>
        <w:p w14:paraId="0374AFB3" w14:textId="281843E3" w:rsidR="00D83ADD" w:rsidRDefault="00E77CAF">
          <w:pPr>
            <w:pStyle w:val="TOC2"/>
            <w:rPr>
              <w:rFonts w:asciiTheme="minorHAnsi" w:eastAsiaTheme="minorEastAsia" w:hAnsiTheme="minorHAnsi" w:cstheme="minorBidi"/>
              <w:noProof/>
              <w:color w:val="auto"/>
              <w:kern w:val="2"/>
              <w:sz w:val="24"/>
              <w:szCs w:val="24"/>
              <w:lang w:val="en-GB" w:eastAsia="en-GB"/>
              <w14:ligatures w14:val="standardContextual"/>
            </w:rPr>
          </w:pPr>
          <w:hyperlink w:anchor="_Toc243907970" w:history="1">
            <w:r w:rsidR="00D83ADD" w:rsidRPr="009D0911">
              <w:rPr>
                <w:rStyle w:val="Hyperlink"/>
                <w:rFonts w:ascii="Times New Roman" w:hAnsi="Times New Roman" w:cs="Times New Roman"/>
                <w:noProof/>
                <w:lang w:val="mk-MK"/>
              </w:rPr>
              <w:t>I ВОВЕД</w:t>
            </w:r>
            <w:r w:rsidR="00D83ADD">
              <w:rPr>
                <w:noProof/>
              </w:rPr>
              <w:tab/>
            </w:r>
            <w:r w:rsidR="00D83ADD">
              <w:rPr>
                <w:noProof/>
              </w:rPr>
              <w:fldChar w:fldCharType="begin"/>
            </w:r>
            <w:r w:rsidR="00D83ADD">
              <w:rPr>
                <w:noProof/>
              </w:rPr>
              <w:instrText xml:space="preserve"> PAGEREF _Toc243907970 \h </w:instrText>
            </w:r>
            <w:r w:rsidR="00D83ADD">
              <w:rPr>
                <w:noProof/>
              </w:rPr>
            </w:r>
            <w:r w:rsidR="00D83ADD">
              <w:rPr>
                <w:noProof/>
              </w:rPr>
              <w:fldChar w:fldCharType="separate"/>
            </w:r>
            <w:r w:rsidR="00D83ADD">
              <w:rPr>
                <w:noProof/>
              </w:rPr>
              <w:t>5</w:t>
            </w:r>
            <w:r w:rsidR="00D83ADD">
              <w:rPr>
                <w:noProof/>
              </w:rPr>
              <w:fldChar w:fldCharType="end"/>
            </w:r>
          </w:hyperlink>
        </w:p>
        <w:p w14:paraId="2E8513E3" w14:textId="4F3DFE09" w:rsidR="00D83ADD" w:rsidRDefault="00E77CAF">
          <w:pPr>
            <w:pStyle w:val="TOC2"/>
            <w:rPr>
              <w:rFonts w:asciiTheme="minorHAnsi" w:eastAsiaTheme="minorEastAsia" w:hAnsiTheme="minorHAnsi" w:cstheme="minorBidi"/>
              <w:noProof/>
              <w:color w:val="auto"/>
              <w:kern w:val="2"/>
              <w:sz w:val="24"/>
              <w:szCs w:val="24"/>
              <w:lang w:val="en-GB" w:eastAsia="en-GB"/>
              <w14:ligatures w14:val="standardContextual"/>
            </w:rPr>
          </w:pPr>
          <w:hyperlink w:anchor="_Toc243907971" w:history="1">
            <w:r w:rsidR="00D83ADD" w:rsidRPr="009D0911">
              <w:rPr>
                <w:rStyle w:val="Hyperlink"/>
                <w:rFonts w:ascii="Times New Roman" w:hAnsi="Times New Roman" w:cs="Times New Roman"/>
                <w:noProof/>
                <w:lang w:val="mk-MK"/>
              </w:rPr>
              <w:t>1. ВОВЕД И МЕТОДОЛОГИЈА</w:t>
            </w:r>
            <w:r w:rsidR="00D83ADD">
              <w:rPr>
                <w:noProof/>
              </w:rPr>
              <w:tab/>
            </w:r>
            <w:r w:rsidR="00D83ADD">
              <w:rPr>
                <w:noProof/>
              </w:rPr>
              <w:fldChar w:fldCharType="begin"/>
            </w:r>
            <w:r w:rsidR="00D83ADD">
              <w:rPr>
                <w:noProof/>
              </w:rPr>
              <w:instrText xml:space="preserve"> PAGEREF _Toc243907971 \h </w:instrText>
            </w:r>
            <w:r w:rsidR="00D83ADD">
              <w:rPr>
                <w:noProof/>
              </w:rPr>
            </w:r>
            <w:r w:rsidR="00D83ADD">
              <w:rPr>
                <w:noProof/>
              </w:rPr>
              <w:fldChar w:fldCharType="separate"/>
            </w:r>
            <w:r w:rsidR="00D83ADD">
              <w:rPr>
                <w:noProof/>
              </w:rPr>
              <w:t>5</w:t>
            </w:r>
            <w:r w:rsidR="00D83ADD">
              <w:rPr>
                <w:noProof/>
              </w:rPr>
              <w:fldChar w:fldCharType="end"/>
            </w:r>
          </w:hyperlink>
        </w:p>
        <w:p w14:paraId="4258A53C" w14:textId="0B84BBC0" w:rsidR="00D83ADD" w:rsidRDefault="00E77CAF">
          <w:pPr>
            <w:pStyle w:val="TOC3"/>
            <w:rPr>
              <w:rFonts w:asciiTheme="minorHAnsi" w:eastAsiaTheme="minorEastAsia" w:hAnsiTheme="minorHAnsi" w:cstheme="minorBidi"/>
              <w:noProof/>
              <w:color w:val="auto"/>
              <w:kern w:val="2"/>
              <w:sz w:val="24"/>
              <w:szCs w:val="24"/>
              <w:lang w:val="en-GB" w:eastAsia="en-GB"/>
              <w14:ligatures w14:val="standardContextual"/>
            </w:rPr>
          </w:pPr>
          <w:hyperlink w:anchor="_Toc243907972" w:history="1">
            <w:r w:rsidR="00D83ADD" w:rsidRPr="009D0911">
              <w:rPr>
                <w:rStyle w:val="Hyperlink"/>
                <w:rFonts w:ascii="Times New Roman" w:hAnsi="Times New Roman" w:cs="Times New Roman"/>
                <w:noProof/>
                <w:lang w:val="mk-MK"/>
              </w:rPr>
              <w:t>1.1 Контекст и цел</w:t>
            </w:r>
            <w:r w:rsidR="00D83ADD">
              <w:rPr>
                <w:noProof/>
              </w:rPr>
              <w:tab/>
            </w:r>
            <w:r w:rsidR="00D83ADD">
              <w:rPr>
                <w:noProof/>
              </w:rPr>
              <w:fldChar w:fldCharType="begin"/>
            </w:r>
            <w:r w:rsidR="00D83ADD">
              <w:rPr>
                <w:noProof/>
              </w:rPr>
              <w:instrText xml:space="preserve"> PAGEREF _Toc243907972 \h </w:instrText>
            </w:r>
            <w:r w:rsidR="00D83ADD">
              <w:rPr>
                <w:noProof/>
              </w:rPr>
            </w:r>
            <w:r w:rsidR="00D83ADD">
              <w:rPr>
                <w:noProof/>
              </w:rPr>
              <w:fldChar w:fldCharType="separate"/>
            </w:r>
            <w:r w:rsidR="00D83ADD">
              <w:rPr>
                <w:noProof/>
              </w:rPr>
              <w:t>5</w:t>
            </w:r>
            <w:r w:rsidR="00D83ADD">
              <w:rPr>
                <w:noProof/>
              </w:rPr>
              <w:fldChar w:fldCharType="end"/>
            </w:r>
          </w:hyperlink>
        </w:p>
        <w:p w14:paraId="5DC7CA5C" w14:textId="2E56F6C5" w:rsidR="00D83ADD" w:rsidRDefault="00E77CAF">
          <w:pPr>
            <w:pStyle w:val="TOC3"/>
            <w:rPr>
              <w:rFonts w:asciiTheme="minorHAnsi" w:eastAsiaTheme="minorEastAsia" w:hAnsiTheme="minorHAnsi" w:cstheme="minorBidi"/>
              <w:noProof/>
              <w:color w:val="auto"/>
              <w:kern w:val="2"/>
              <w:sz w:val="24"/>
              <w:szCs w:val="24"/>
              <w:lang w:val="en-GB" w:eastAsia="en-GB"/>
              <w14:ligatures w14:val="standardContextual"/>
            </w:rPr>
          </w:pPr>
          <w:hyperlink w:anchor="_Toc243907973" w:history="1">
            <w:r w:rsidR="00D83ADD" w:rsidRPr="009D0911">
              <w:rPr>
                <w:rStyle w:val="Hyperlink"/>
                <w:rFonts w:ascii="Times New Roman" w:hAnsi="Times New Roman" w:cs="Times New Roman"/>
                <w:noProof/>
                <w:lang w:val="mk-MK"/>
              </w:rPr>
              <w:t>1.2 Методологија</w:t>
            </w:r>
            <w:r w:rsidR="00D83ADD">
              <w:rPr>
                <w:noProof/>
              </w:rPr>
              <w:tab/>
            </w:r>
            <w:r w:rsidR="00D83ADD">
              <w:rPr>
                <w:noProof/>
              </w:rPr>
              <w:fldChar w:fldCharType="begin"/>
            </w:r>
            <w:r w:rsidR="00D83ADD">
              <w:rPr>
                <w:noProof/>
              </w:rPr>
              <w:instrText xml:space="preserve"> PAGEREF _Toc243907973 \h </w:instrText>
            </w:r>
            <w:r w:rsidR="00D83ADD">
              <w:rPr>
                <w:noProof/>
              </w:rPr>
            </w:r>
            <w:r w:rsidR="00D83ADD">
              <w:rPr>
                <w:noProof/>
              </w:rPr>
              <w:fldChar w:fldCharType="separate"/>
            </w:r>
            <w:r w:rsidR="00D83ADD">
              <w:rPr>
                <w:noProof/>
              </w:rPr>
              <w:t>6</w:t>
            </w:r>
            <w:r w:rsidR="00D83ADD">
              <w:rPr>
                <w:noProof/>
              </w:rPr>
              <w:fldChar w:fldCharType="end"/>
            </w:r>
          </w:hyperlink>
        </w:p>
        <w:p w14:paraId="54AB03E9" w14:textId="636351BF" w:rsidR="00D83ADD" w:rsidRDefault="00E77CAF">
          <w:pPr>
            <w:pStyle w:val="TOC3"/>
            <w:rPr>
              <w:rFonts w:asciiTheme="minorHAnsi" w:eastAsiaTheme="minorEastAsia" w:hAnsiTheme="minorHAnsi" w:cstheme="minorBidi"/>
              <w:noProof/>
              <w:color w:val="auto"/>
              <w:kern w:val="2"/>
              <w:sz w:val="24"/>
              <w:szCs w:val="24"/>
              <w:lang w:val="en-GB" w:eastAsia="en-GB"/>
              <w14:ligatures w14:val="standardContextual"/>
            </w:rPr>
          </w:pPr>
          <w:hyperlink w:anchor="_Toc243907974" w:history="1">
            <w:r w:rsidR="00D83ADD" w:rsidRPr="009D0911">
              <w:rPr>
                <w:rStyle w:val="Hyperlink"/>
                <w:rFonts w:ascii="Times New Roman" w:hAnsi="Times New Roman" w:cs="Times New Roman"/>
                <w:noProof/>
                <w:lang w:val="mk-MK"/>
              </w:rPr>
              <w:t>1.3 Опфат</w:t>
            </w:r>
            <w:r w:rsidR="00D83ADD">
              <w:rPr>
                <w:noProof/>
              </w:rPr>
              <w:tab/>
            </w:r>
            <w:r w:rsidR="00D83ADD">
              <w:rPr>
                <w:noProof/>
              </w:rPr>
              <w:fldChar w:fldCharType="begin"/>
            </w:r>
            <w:r w:rsidR="00D83ADD">
              <w:rPr>
                <w:noProof/>
              </w:rPr>
              <w:instrText xml:space="preserve"> PAGEREF _Toc243907974 \h </w:instrText>
            </w:r>
            <w:r w:rsidR="00D83ADD">
              <w:rPr>
                <w:noProof/>
              </w:rPr>
            </w:r>
            <w:r w:rsidR="00D83ADD">
              <w:rPr>
                <w:noProof/>
              </w:rPr>
              <w:fldChar w:fldCharType="separate"/>
            </w:r>
            <w:r w:rsidR="00D83ADD">
              <w:rPr>
                <w:noProof/>
              </w:rPr>
              <w:t>6</w:t>
            </w:r>
            <w:r w:rsidR="00D83ADD">
              <w:rPr>
                <w:noProof/>
              </w:rPr>
              <w:fldChar w:fldCharType="end"/>
            </w:r>
          </w:hyperlink>
        </w:p>
        <w:p w14:paraId="3FC1EF57" w14:textId="6C400C9A" w:rsidR="00D83ADD" w:rsidRDefault="00E77CAF">
          <w:pPr>
            <w:pStyle w:val="TOC2"/>
            <w:rPr>
              <w:rFonts w:asciiTheme="minorHAnsi" w:eastAsiaTheme="minorEastAsia" w:hAnsiTheme="minorHAnsi" w:cstheme="minorBidi"/>
              <w:noProof/>
              <w:color w:val="auto"/>
              <w:kern w:val="2"/>
              <w:sz w:val="24"/>
              <w:szCs w:val="24"/>
              <w:lang w:val="en-GB" w:eastAsia="en-GB"/>
              <w14:ligatures w14:val="standardContextual"/>
            </w:rPr>
          </w:pPr>
          <w:hyperlink w:anchor="_Toc243907975" w:history="1">
            <w:r w:rsidR="00D83ADD" w:rsidRPr="009D0911">
              <w:rPr>
                <w:rStyle w:val="Hyperlink"/>
                <w:rFonts w:ascii="Times New Roman" w:hAnsi="Times New Roman" w:cs="Times New Roman"/>
                <w:noProof/>
                <w:lang w:val="mk-MK"/>
              </w:rPr>
              <w:t>2. ПРЕГЛЕД НА РЕЛЕВАНТНИ СТРАТЕГИИ И ЗАКОНСКИ РАМКИ</w:t>
            </w:r>
            <w:r w:rsidR="00D83ADD">
              <w:rPr>
                <w:noProof/>
              </w:rPr>
              <w:tab/>
            </w:r>
            <w:r w:rsidR="00D83ADD">
              <w:rPr>
                <w:noProof/>
              </w:rPr>
              <w:fldChar w:fldCharType="begin"/>
            </w:r>
            <w:r w:rsidR="00D83ADD">
              <w:rPr>
                <w:noProof/>
              </w:rPr>
              <w:instrText xml:space="preserve"> PAGEREF _Toc243907975 \h </w:instrText>
            </w:r>
            <w:r w:rsidR="00D83ADD">
              <w:rPr>
                <w:noProof/>
              </w:rPr>
            </w:r>
            <w:r w:rsidR="00D83ADD">
              <w:rPr>
                <w:noProof/>
              </w:rPr>
              <w:fldChar w:fldCharType="separate"/>
            </w:r>
            <w:r w:rsidR="00D83ADD">
              <w:rPr>
                <w:noProof/>
              </w:rPr>
              <w:t>6</w:t>
            </w:r>
            <w:r w:rsidR="00D83ADD">
              <w:rPr>
                <w:noProof/>
              </w:rPr>
              <w:fldChar w:fldCharType="end"/>
            </w:r>
          </w:hyperlink>
        </w:p>
        <w:p w14:paraId="0E07B373" w14:textId="0ABBD10B" w:rsidR="00D83ADD" w:rsidRDefault="00E77CAF">
          <w:pPr>
            <w:pStyle w:val="TOC2"/>
            <w:rPr>
              <w:rFonts w:asciiTheme="minorHAnsi" w:eastAsiaTheme="minorEastAsia" w:hAnsiTheme="minorHAnsi" w:cstheme="minorBidi"/>
              <w:noProof/>
              <w:color w:val="auto"/>
              <w:kern w:val="2"/>
              <w:sz w:val="24"/>
              <w:szCs w:val="24"/>
              <w:lang w:val="en-GB" w:eastAsia="en-GB"/>
              <w14:ligatures w14:val="standardContextual"/>
            </w:rPr>
          </w:pPr>
          <w:hyperlink w:anchor="_Toc243907976" w:history="1">
            <w:r w:rsidR="00D83ADD" w:rsidRPr="009D0911">
              <w:rPr>
                <w:rStyle w:val="Hyperlink"/>
                <w:rFonts w:ascii="Times New Roman" w:hAnsi="Times New Roman" w:cs="Times New Roman"/>
                <w:noProof/>
                <w:lang w:val="mk-MK"/>
              </w:rPr>
              <w:t>2.1 Национална развојна стратегија 2024–2044 (НРС)</w:t>
            </w:r>
            <w:r w:rsidR="00D83ADD">
              <w:rPr>
                <w:noProof/>
              </w:rPr>
              <w:tab/>
            </w:r>
            <w:r w:rsidR="00D83ADD">
              <w:rPr>
                <w:noProof/>
              </w:rPr>
              <w:fldChar w:fldCharType="begin"/>
            </w:r>
            <w:r w:rsidR="00D83ADD">
              <w:rPr>
                <w:noProof/>
              </w:rPr>
              <w:instrText xml:space="preserve"> PAGEREF _Toc243907976 \h </w:instrText>
            </w:r>
            <w:r w:rsidR="00D83ADD">
              <w:rPr>
                <w:noProof/>
              </w:rPr>
            </w:r>
            <w:r w:rsidR="00D83ADD">
              <w:rPr>
                <w:noProof/>
              </w:rPr>
              <w:fldChar w:fldCharType="separate"/>
            </w:r>
            <w:r w:rsidR="00D83ADD">
              <w:rPr>
                <w:noProof/>
              </w:rPr>
              <w:t>6</w:t>
            </w:r>
            <w:r w:rsidR="00D83ADD">
              <w:rPr>
                <w:noProof/>
              </w:rPr>
              <w:fldChar w:fldCharType="end"/>
            </w:r>
          </w:hyperlink>
        </w:p>
        <w:p w14:paraId="587C0A42" w14:textId="1460F7E0" w:rsidR="00D83ADD" w:rsidRDefault="00E77CAF">
          <w:pPr>
            <w:pStyle w:val="TOC3"/>
            <w:rPr>
              <w:rFonts w:asciiTheme="minorHAnsi" w:eastAsiaTheme="minorEastAsia" w:hAnsiTheme="minorHAnsi" w:cstheme="minorBidi"/>
              <w:noProof/>
              <w:color w:val="auto"/>
              <w:kern w:val="2"/>
              <w:sz w:val="24"/>
              <w:szCs w:val="24"/>
              <w:lang w:val="en-GB" w:eastAsia="en-GB"/>
              <w14:ligatures w14:val="standardContextual"/>
            </w:rPr>
          </w:pPr>
          <w:hyperlink w:anchor="_Toc243907977" w:history="1">
            <w:r w:rsidR="00D83ADD" w:rsidRPr="009D0911">
              <w:rPr>
                <w:rStyle w:val="Hyperlink"/>
                <w:rFonts w:ascii="Times New Roman" w:hAnsi="Times New Roman" w:cs="Times New Roman"/>
                <w:noProof/>
                <w:lang w:val="mk-MK"/>
              </w:rPr>
              <w:t>2.2 СМАРТ/МК 2030 – Стратегија за развој на ИКТ</w:t>
            </w:r>
            <w:r w:rsidR="00D83ADD">
              <w:rPr>
                <w:noProof/>
              </w:rPr>
              <w:tab/>
            </w:r>
            <w:r w:rsidR="00D83ADD">
              <w:rPr>
                <w:noProof/>
              </w:rPr>
              <w:fldChar w:fldCharType="begin"/>
            </w:r>
            <w:r w:rsidR="00D83ADD">
              <w:rPr>
                <w:noProof/>
              </w:rPr>
              <w:instrText xml:space="preserve"> PAGEREF _Toc243907977 \h </w:instrText>
            </w:r>
            <w:r w:rsidR="00D83ADD">
              <w:rPr>
                <w:noProof/>
              </w:rPr>
            </w:r>
            <w:r w:rsidR="00D83ADD">
              <w:rPr>
                <w:noProof/>
              </w:rPr>
              <w:fldChar w:fldCharType="separate"/>
            </w:r>
            <w:r w:rsidR="00D83ADD">
              <w:rPr>
                <w:noProof/>
              </w:rPr>
              <w:t>9</w:t>
            </w:r>
            <w:r w:rsidR="00D83ADD">
              <w:rPr>
                <w:noProof/>
              </w:rPr>
              <w:fldChar w:fldCharType="end"/>
            </w:r>
          </w:hyperlink>
        </w:p>
        <w:p w14:paraId="29A26AC2" w14:textId="3B3D4117" w:rsidR="00D83ADD" w:rsidRDefault="00E77CAF">
          <w:pPr>
            <w:pStyle w:val="TOC2"/>
            <w:rPr>
              <w:rFonts w:asciiTheme="minorHAnsi" w:eastAsiaTheme="minorEastAsia" w:hAnsiTheme="minorHAnsi" w:cstheme="minorBidi"/>
              <w:noProof/>
              <w:color w:val="auto"/>
              <w:kern w:val="2"/>
              <w:sz w:val="24"/>
              <w:szCs w:val="24"/>
              <w:lang w:val="en-GB" w:eastAsia="en-GB"/>
              <w14:ligatures w14:val="standardContextual"/>
            </w:rPr>
          </w:pPr>
          <w:hyperlink w:anchor="_Toc243907978" w:history="1">
            <w:r w:rsidR="00D83ADD" w:rsidRPr="009D0911">
              <w:rPr>
                <w:rStyle w:val="Hyperlink"/>
                <w:rFonts w:ascii="Times New Roman" w:hAnsi="Times New Roman" w:cs="Times New Roman"/>
                <w:noProof/>
                <w:lang w:val="mk-MK"/>
              </w:rPr>
              <w:t>2.3 Стратегија за паметна специјализација 2024–2027 (С3)</w:t>
            </w:r>
            <w:r w:rsidR="00D83ADD">
              <w:rPr>
                <w:noProof/>
              </w:rPr>
              <w:tab/>
            </w:r>
            <w:r w:rsidR="00D83ADD">
              <w:rPr>
                <w:noProof/>
              </w:rPr>
              <w:fldChar w:fldCharType="begin"/>
            </w:r>
            <w:r w:rsidR="00D83ADD">
              <w:rPr>
                <w:noProof/>
              </w:rPr>
              <w:instrText xml:space="preserve"> PAGEREF _Toc243907978 \h </w:instrText>
            </w:r>
            <w:r w:rsidR="00D83ADD">
              <w:rPr>
                <w:noProof/>
              </w:rPr>
            </w:r>
            <w:r w:rsidR="00D83ADD">
              <w:rPr>
                <w:noProof/>
              </w:rPr>
              <w:fldChar w:fldCharType="separate"/>
            </w:r>
            <w:r w:rsidR="00D83ADD">
              <w:rPr>
                <w:noProof/>
              </w:rPr>
              <w:t>11</w:t>
            </w:r>
            <w:r w:rsidR="00D83ADD">
              <w:rPr>
                <w:noProof/>
              </w:rPr>
              <w:fldChar w:fldCharType="end"/>
            </w:r>
          </w:hyperlink>
        </w:p>
        <w:p w14:paraId="56E653B7" w14:textId="130A1B1F" w:rsidR="00D83ADD" w:rsidRDefault="00E77CAF">
          <w:pPr>
            <w:pStyle w:val="TOC2"/>
            <w:rPr>
              <w:rFonts w:asciiTheme="minorHAnsi" w:eastAsiaTheme="minorEastAsia" w:hAnsiTheme="minorHAnsi" w:cstheme="minorBidi"/>
              <w:noProof/>
              <w:color w:val="auto"/>
              <w:kern w:val="2"/>
              <w:sz w:val="24"/>
              <w:szCs w:val="24"/>
              <w:lang w:val="en-GB" w:eastAsia="en-GB"/>
              <w14:ligatures w14:val="standardContextual"/>
            </w:rPr>
          </w:pPr>
          <w:hyperlink w:anchor="_Toc243907979" w:history="1">
            <w:r w:rsidR="00D83ADD" w:rsidRPr="009D0911">
              <w:rPr>
                <w:rStyle w:val="Hyperlink"/>
                <w:rFonts w:ascii="Times New Roman" w:hAnsi="Times New Roman" w:cs="Times New Roman"/>
                <w:noProof/>
                <w:lang w:val="mk-MK"/>
              </w:rPr>
              <w:t>2.4 Стратегија за сајбер-безбедност 2025–2028</w:t>
            </w:r>
            <w:r w:rsidR="00D83ADD">
              <w:rPr>
                <w:noProof/>
              </w:rPr>
              <w:tab/>
            </w:r>
            <w:r w:rsidR="00D83ADD">
              <w:rPr>
                <w:noProof/>
              </w:rPr>
              <w:fldChar w:fldCharType="begin"/>
            </w:r>
            <w:r w:rsidR="00D83ADD">
              <w:rPr>
                <w:noProof/>
              </w:rPr>
              <w:instrText xml:space="preserve"> PAGEREF _Toc243907979 \h </w:instrText>
            </w:r>
            <w:r w:rsidR="00D83ADD">
              <w:rPr>
                <w:noProof/>
              </w:rPr>
            </w:r>
            <w:r w:rsidR="00D83ADD">
              <w:rPr>
                <w:noProof/>
              </w:rPr>
              <w:fldChar w:fldCharType="separate"/>
            </w:r>
            <w:r w:rsidR="00D83ADD">
              <w:rPr>
                <w:noProof/>
              </w:rPr>
              <w:t>13</w:t>
            </w:r>
            <w:r w:rsidR="00D83ADD">
              <w:rPr>
                <w:noProof/>
              </w:rPr>
              <w:fldChar w:fldCharType="end"/>
            </w:r>
          </w:hyperlink>
        </w:p>
        <w:p w14:paraId="5D267902" w14:textId="10281D90" w:rsidR="00D83ADD" w:rsidRDefault="00E77CAF">
          <w:pPr>
            <w:pStyle w:val="TOC3"/>
            <w:rPr>
              <w:rFonts w:asciiTheme="minorHAnsi" w:eastAsiaTheme="minorEastAsia" w:hAnsiTheme="minorHAnsi" w:cstheme="minorBidi"/>
              <w:noProof/>
              <w:color w:val="auto"/>
              <w:kern w:val="2"/>
              <w:sz w:val="24"/>
              <w:szCs w:val="24"/>
              <w:lang w:val="en-GB" w:eastAsia="en-GB"/>
              <w14:ligatures w14:val="standardContextual"/>
            </w:rPr>
          </w:pPr>
          <w:hyperlink w:anchor="_Toc243907980" w:history="1">
            <w:r w:rsidR="00D83ADD" w:rsidRPr="009D0911">
              <w:rPr>
                <w:rStyle w:val="Hyperlink"/>
                <w:rFonts w:ascii="Times New Roman" w:hAnsi="Times New Roman" w:cs="Times New Roman"/>
                <w:noProof/>
                <w:lang w:val="mk-MK"/>
              </w:rPr>
              <w:t>2.5 Стратегија за реформа на јавната администрација 2023–2030 (РЈА)</w:t>
            </w:r>
            <w:r w:rsidR="00D83ADD">
              <w:rPr>
                <w:noProof/>
              </w:rPr>
              <w:tab/>
            </w:r>
            <w:r w:rsidR="00D83ADD">
              <w:rPr>
                <w:noProof/>
              </w:rPr>
              <w:fldChar w:fldCharType="begin"/>
            </w:r>
            <w:r w:rsidR="00D83ADD">
              <w:rPr>
                <w:noProof/>
              </w:rPr>
              <w:instrText xml:space="preserve"> PAGEREF _Toc243907980 \h </w:instrText>
            </w:r>
            <w:r w:rsidR="00D83ADD">
              <w:rPr>
                <w:noProof/>
              </w:rPr>
            </w:r>
            <w:r w:rsidR="00D83ADD">
              <w:rPr>
                <w:noProof/>
              </w:rPr>
              <w:fldChar w:fldCharType="separate"/>
            </w:r>
            <w:r w:rsidR="00D83ADD">
              <w:rPr>
                <w:noProof/>
              </w:rPr>
              <w:t>16</w:t>
            </w:r>
            <w:r w:rsidR="00D83ADD">
              <w:rPr>
                <w:noProof/>
              </w:rPr>
              <w:fldChar w:fldCharType="end"/>
            </w:r>
          </w:hyperlink>
        </w:p>
        <w:p w14:paraId="27FD204A" w14:textId="7BF133FC" w:rsidR="00D83ADD" w:rsidRDefault="00E77CAF">
          <w:pPr>
            <w:pStyle w:val="TOC3"/>
            <w:rPr>
              <w:rFonts w:asciiTheme="minorHAnsi" w:eastAsiaTheme="minorEastAsia" w:hAnsiTheme="minorHAnsi" w:cstheme="minorBidi"/>
              <w:noProof/>
              <w:color w:val="auto"/>
              <w:kern w:val="2"/>
              <w:sz w:val="24"/>
              <w:szCs w:val="24"/>
              <w:lang w:val="en-GB" w:eastAsia="en-GB"/>
              <w14:ligatures w14:val="standardContextual"/>
            </w:rPr>
          </w:pPr>
          <w:hyperlink w:anchor="_Toc243907981" w:history="1">
            <w:r w:rsidR="00D83ADD" w:rsidRPr="009D0911">
              <w:rPr>
                <w:rStyle w:val="Hyperlink"/>
                <w:rFonts w:ascii="Times New Roman" w:hAnsi="Times New Roman" w:cs="Times New Roman"/>
                <w:noProof/>
                <w:lang w:val="mk-MK"/>
              </w:rPr>
              <w:t>2.6 Закон за заштита на личните податоци (ЗЗЛП) и неговото влијание врз ВИ</w:t>
            </w:r>
            <w:r w:rsidR="00D83ADD">
              <w:rPr>
                <w:noProof/>
              </w:rPr>
              <w:tab/>
            </w:r>
            <w:r w:rsidR="00D83ADD">
              <w:rPr>
                <w:noProof/>
              </w:rPr>
              <w:fldChar w:fldCharType="begin"/>
            </w:r>
            <w:r w:rsidR="00D83ADD">
              <w:rPr>
                <w:noProof/>
              </w:rPr>
              <w:instrText xml:space="preserve"> PAGEREF _Toc243907981 \h </w:instrText>
            </w:r>
            <w:r w:rsidR="00D83ADD">
              <w:rPr>
                <w:noProof/>
              </w:rPr>
            </w:r>
            <w:r w:rsidR="00D83ADD">
              <w:rPr>
                <w:noProof/>
              </w:rPr>
              <w:fldChar w:fldCharType="separate"/>
            </w:r>
            <w:r w:rsidR="00D83ADD">
              <w:rPr>
                <w:noProof/>
              </w:rPr>
              <w:t>17</w:t>
            </w:r>
            <w:r w:rsidR="00D83ADD">
              <w:rPr>
                <w:noProof/>
              </w:rPr>
              <w:fldChar w:fldCharType="end"/>
            </w:r>
          </w:hyperlink>
        </w:p>
        <w:p w14:paraId="34CC7333" w14:textId="740D8B15" w:rsidR="00D83ADD" w:rsidRDefault="00E77CAF">
          <w:pPr>
            <w:pStyle w:val="TOC3"/>
            <w:rPr>
              <w:rFonts w:asciiTheme="minorHAnsi" w:eastAsiaTheme="minorEastAsia" w:hAnsiTheme="minorHAnsi" w:cstheme="minorBidi"/>
              <w:noProof/>
              <w:color w:val="auto"/>
              <w:kern w:val="2"/>
              <w:sz w:val="24"/>
              <w:szCs w:val="24"/>
              <w:lang w:val="en-GB" w:eastAsia="en-GB"/>
              <w14:ligatures w14:val="standardContextual"/>
            </w:rPr>
          </w:pPr>
          <w:hyperlink w:anchor="_Toc243907982" w:history="1">
            <w:r w:rsidR="00D83ADD" w:rsidRPr="009D0911">
              <w:rPr>
                <w:rStyle w:val="Hyperlink"/>
                <w:rFonts w:ascii="Times New Roman" w:hAnsi="Times New Roman" w:cs="Times New Roman"/>
                <w:noProof/>
                <w:lang w:val="mk-MK"/>
              </w:rPr>
              <w:t>2.7 Дигитална подготвеност на Северна Македонија (</w:t>
            </w:r>
            <w:r w:rsidR="00D83ADD" w:rsidRPr="009D0911">
              <w:rPr>
                <w:rStyle w:val="Hyperlink"/>
                <w:rFonts w:ascii="Times New Roman" w:hAnsi="Times New Roman" w:cs="Times New Roman"/>
                <w:i/>
                <w:iCs/>
                <w:noProof/>
                <w:lang w:val="mk-MK"/>
              </w:rPr>
              <w:t>UNDP DRA</w:t>
            </w:r>
            <w:r w:rsidR="00D83ADD" w:rsidRPr="009D0911">
              <w:rPr>
                <w:rStyle w:val="Hyperlink"/>
                <w:rFonts w:ascii="Times New Roman" w:hAnsi="Times New Roman" w:cs="Times New Roman"/>
                <w:noProof/>
                <w:lang w:val="mk-MK"/>
              </w:rPr>
              <w:t xml:space="preserve"> 2023)</w:t>
            </w:r>
            <w:r w:rsidR="00D83ADD">
              <w:rPr>
                <w:noProof/>
              </w:rPr>
              <w:tab/>
            </w:r>
            <w:r w:rsidR="00D83ADD">
              <w:rPr>
                <w:noProof/>
              </w:rPr>
              <w:fldChar w:fldCharType="begin"/>
            </w:r>
            <w:r w:rsidR="00D83ADD">
              <w:rPr>
                <w:noProof/>
              </w:rPr>
              <w:instrText xml:space="preserve"> PAGEREF _Toc243907982 \h </w:instrText>
            </w:r>
            <w:r w:rsidR="00D83ADD">
              <w:rPr>
                <w:noProof/>
              </w:rPr>
            </w:r>
            <w:r w:rsidR="00D83ADD">
              <w:rPr>
                <w:noProof/>
              </w:rPr>
              <w:fldChar w:fldCharType="separate"/>
            </w:r>
            <w:r w:rsidR="00D83ADD">
              <w:rPr>
                <w:noProof/>
              </w:rPr>
              <w:t>19</w:t>
            </w:r>
            <w:r w:rsidR="00D83ADD">
              <w:rPr>
                <w:noProof/>
              </w:rPr>
              <w:fldChar w:fldCharType="end"/>
            </w:r>
          </w:hyperlink>
        </w:p>
        <w:p w14:paraId="226C4DD6" w14:textId="27875F9D" w:rsidR="00D83ADD" w:rsidRDefault="00E77CAF">
          <w:pPr>
            <w:pStyle w:val="TOC2"/>
            <w:rPr>
              <w:rFonts w:asciiTheme="minorHAnsi" w:eastAsiaTheme="minorEastAsia" w:hAnsiTheme="minorHAnsi" w:cstheme="minorBidi"/>
              <w:noProof/>
              <w:color w:val="auto"/>
              <w:kern w:val="2"/>
              <w:sz w:val="24"/>
              <w:szCs w:val="24"/>
              <w:lang w:val="en-GB" w:eastAsia="en-GB"/>
              <w14:ligatures w14:val="standardContextual"/>
            </w:rPr>
          </w:pPr>
          <w:hyperlink w:anchor="_Toc243907983" w:history="1">
            <w:r w:rsidR="00D83ADD" w:rsidRPr="009D0911">
              <w:rPr>
                <w:rStyle w:val="Hyperlink"/>
                <w:rFonts w:ascii="Times New Roman" w:hAnsi="Times New Roman" w:cs="Times New Roman"/>
                <w:noProof/>
                <w:lang w:val="mk-MK"/>
              </w:rPr>
              <w:t>3. ЕУ УСОГЛАСУВАЊЕ И МЕЃУНАРОДНИ НАЈДОБРИ ПРАКТИКИ</w:t>
            </w:r>
            <w:r w:rsidR="00D83ADD">
              <w:rPr>
                <w:noProof/>
              </w:rPr>
              <w:tab/>
            </w:r>
            <w:r w:rsidR="00D83ADD">
              <w:rPr>
                <w:noProof/>
              </w:rPr>
              <w:fldChar w:fldCharType="begin"/>
            </w:r>
            <w:r w:rsidR="00D83ADD">
              <w:rPr>
                <w:noProof/>
              </w:rPr>
              <w:instrText xml:space="preserve"> PAGEREF _Toc243907983 \h </w:instrText>
            </w:r>
            <w:r w:rsidR="00D83ADD">
              <w:rPr>
                <w:noProof/>
              </w:rPr>
            </w:r>
            <w:r w:rsidR="00D83ADD">
              <w:rPr>
                <w:noProof/>
              </w:rPr>
              <w:fldChar w:fldCharType="separate"/>
            </w:r>
            <w:r w:rsidR="00D83ADD">
              <w:rPr>
                <w:noProof/>
              </w:rPr>
              <w:t>20</w:t>
            </w:r>
            <w:r w:rsidR="00D83ADD">
              <w:rPr>
                <w:noProof/>
              </w:rPr>
              <w:fldChar w:fldCharType="end"/>
            </w:r>
          </w:hyperlink>
        </w:p>
        <w:p w14:paraId="2FF2CA35" w14:textId="347A2EF1" w:rsidR="00D83ADD" w:rsidRDefault="00E77CAF">
          <w:pPr>
            <w:pStyle w:val="TOC3"/>
            <w:rPr>
              <w:rFonts w:asciiTheme="minorHAnsi" w:eastAsiaTheme="minorEastAsia" w:hAnsiTheme="minorHAnsi" w:cstheme="minorBidi"/>
              <w:noProof/>
              <w:color w:val="auto"/>
              <w:kern w:val="2"/>
              <w:sz w:val="24"/>
              <w:szCs w:val="24"/>
              <w:lang w:val="en-GB" w:eastAsia="en-GB"/>
              <w14:ligatures w14:val="standardContextual"/>
            </w:rPr>
          </w:pPr>
          <w:hyperlink w:anchor="_Toc243907984" w:history="1">
            <w:r w:rsidR="00D83ADD" w:rsidRPr="009D0911">
              <w:rPr>
                <w:rStyle w:val="Hyperlink"/>
                <w:rFonts w:ascii="Times New Roman" w:hAnsi="Times New Roman" w:cs="Times New Roman"/>
                <w:noProof/>
                <w:lang w:val="mk-MK"/>
              </w:rPr>
              <w:t>3.1 ЕУ Акт за вештачка интелигенција (</w:t>
            </w:r>
            <w:r w:rsidR="00D83ADD" w:rsidRPr="009D0911">
              <w:rPr>
                <w:rStyle w:val="Hyperlink"/>
                <w:rFonts w:ascii="Times New Roman" w:hAnsi="Times New Roman" w:cs="Times New Roman"/>
                <w:i/>
                <w:iCs/>
                <w:noProof/>
                <w:lang w:val="mk-MK"/>
              </w:rPr>
              <w:t>EU AI Act</w:t>
            </w:r>
            <w:r w:rsidR="00D83ADD" w:rsidRPr="009D0911">
              <w:rPr>
                <w:rStyle w:val="Hyperlink"/>
                <w:rFonts w:ascii="Times New Roman" w:hAnsi="Times New Roman" w:cs="Times New Roman"/>
                <w:noProof/>
                <w:lang w:val="mk-MK"/>
              </w:rPr>
              <w:t>)</w:t>
            </w:r>
            <w:r w:rsidR="00D83ADD">
              <w:rPr>
                <w:noProof/>
              </w:rPr>
              <w:tab/>
            </w:r>
            <w:r w:rsidR="00D83ADD">
              <w:rPr>
                <w:noProof/>
              </w:rPr>
              <w:fldChar w:fldCharType="begin"/>
            </w:r>
            <w:r w:rsidR="00D83ADD">
              <w:rPr>
                <w:noProof/>
              </w:rPr>
              <w:instrText xml:space="preserve"> PAGEREF _Toc243907984 \h </w:instrText>
            </w:r>
            <w:r w:rsidR="00D83ADD">
              <w:rPr>
                <w:noProof/>
              </w:rPr>
            </w:r>
            <w:r w:rsidR="00D83ADD">
              <w:rPr>
                <w:noProof/>
              </w:rPr>
              <w:fldChar w:fldCharType="separate"/>
            </w:r>
            <w:r w:rsidR="00D83ADD">
              <w:rPr>
                <w:noProof/>
              </w:rPr>
              <w:t>20</w:t>
            </w:r>
            <w:r w:rsidR="00D83ADD">
              <w:rPr>
                <w:noProof/>
              </w:rPr>
              <w:fldChar w:fldCharType="end"/>
            </w:r>
          </w:hyperlink>
        </w:p>
        <w:p w14:paraId="10442754" w14:textId="7A038C0A" w:rsidR="00D83ADD" w:rsidRDefault="00E77CAF">
          <w:pPr>
            <w:pStyle w:val="TOC2"/>
            <w:rPr>
              <w:rFonts w:asciiTheme="minorHAnsi" w:eastAsiaTheme="minorEastAsia" w:hAnsiTheme="minorHAnsi" w:cstheme="minorBidi"/>
              <w:noProof/>
              <w:color w:val="auto"/>
              <w:kern w:val="2"/>
              <w:sz w:val="24"/>
              <w:szCs w:val="24"/>
              <w:lang w:val="en-GB" w:eastAsia="en-GB"/>
              <w14:ligatures w14:val="standardContextual"/>
            </w:rPr>
          </w:pPr>
          <w:hyperlink w:anchor="_Toc243907985" w:history="1">
            <w:r w:rsidR="00D83ADD" w:rsidRPr="009D0911">
              <w:rPr>
                <w:rStyle w:val="Hyperlink"/>
                <w:rFonts w:ascii="Times New Roman" w:hAnsi="Times New Roman" w:cs="Times New Roman"/>
                <w:noProof/>
                <w:lang w:val="mk-MK"/>
              </w:rPr>
              <w:t>3.2 Рамковна конвенција на Советот на Европа за вештачка интелигенција (</w:t>
            </w:r>
            <w:r w:rsidR="00D83ADD" w:rsidRPr="009D0911">
              <w:rPr>
                <w:rStyle w:val="Hyperlink"/>
                <w:rFonts w:ascii="Times New Roman" w:hAnsi="Times New Roman" w:cs="Times New Roman"/>
                <w:i/>
                <w:iCs/>
                <w:noProof/>
                <w:lang w:val="mk-MK"/>
              </w:rPr>
              <w:t>CETS No</w:t>
            </w:r>
            <w:r w:rsidR="00D83ADD" w:rsidRPr="009D0911">
              <w:rPr>
                <w:rStyle w:val="Hyperlink"/>
                <w:rFonts w:ascii="Times New Roman" w:hAnsi="Times New Roman" w:cs="Times New Roman"/>
                <w:noProof/>
                <w:lang w:val="mk-MK"/>
              </w:rPr>
              <w:t>. 225)</w:t>
            </w:r>
            <w:r w:rsidR="00D83ADD">
              <w:rPr>
                <w:noProof/>
              </w:rPr>
              <w:tab/>
            </w:r>
            <w:r w:rsidR="00D83ADD">
              <w:rPr>
                <w:noProof/>
              </w:rPr>
              <w:fldChar w:fldCharType="begin"/>
            </w:r>
            <w:r w:rsidR="00D83ADD">
              <w:rPr>
                <w:noProof/>
              </w:rPr>
              <w:instrText xml:space="preserve"> PAGEREF _Toc243907985 \h </w:instrText>
            </w:r>
            <w:r w:rsidR="00D83ADD">
              <w:rPr>
                <w:noProof/>
              </w:rPr>
            </w:r>
            <w:r w:rsidR="00D83ADD">
              <w:rPr>
                <w:noProof/>
              </w:rPr>
              <w:fldChar w:fldCharType="separate"/>
            </w:r>
            <w:r w:rsidR="00D83ADD">
              <w:rPr>
                <w:noProof/>
              </w:rPr>
              <w:t>24</w:t>
            </w:r>
            <w:r w:rsidR="00D83ADD">
              <w:rPr>
                <w:noProof/>
              </w:rPr>
              <w:fldChar w:fldCharType="end"/>
            </w:r>
          </w:hyperlink>
        </w:p>
        <w:p w14:paraId="21A56D5A" w14:textId="767586CB" w:rsidR="00D83ADD" w:rsidRDefault="00E77CAF">
          <w:pPr>
            <w:pStyle w:val="TOC2"/>
            <w:rPr>
              <w:rFonts w:asciiTheme="minorHAnsi" w:eastAsiaTheme="minorEastAsia" w:hAnsiTheme="minorHAnsi" w:cstheme="minorBidi"/>
              <w:noProof/>
              <w:color w:val="auto"/>
              <w:kern w:val="2"/>
              <w:sz w:val="24"/>
              <w:szCs w:val="24"/>
              <w:lang w:val="en-GB" w:eastAsia="en-GB"/>
              <w14:ligatures w14:val="standardContextual"/>
            </w:rPr>
          </w:pPr>
          <w:hyperlink w:anchor="_Toc243907986" w:history="1">
            <w:r w:rsidR="00D83ADD" w:rsidRPr="009D0911">
              <w:rPr>
                <w:rStyle w:val="Hyperlink"/>
                <w:rFonts w:ascii="Times New Roman" w:hAnsi="Times New Roman" w:cs="Times New Roman"/>
                <w:noProof/>
                <w:lang w:val="mk-MK"/>
              </w:rPr>
              <w:t>3.3 Меѓународни најдобри практики и стандарди (ОЕЦД и УНЕСКО)</w:t>
            </w:r>
            <w:r w:rsidR="00D83ADD">
              <w:rPr>
                <w:noProof/>
              </w:rPr>
              <w:tab/>
            </w:r>
            <w:r w:rsidR="00D83ADD">
              <w:rPr>
                <w:noProof/>
              </w:rPr>
              <w:fldChar w:fldCharType="begin"/>
            </w:r>
            <w:r w:rsidR="00D83ADD">
              <w:rPr>
                <w:noProof/>
              </w:rPr>
              <w:instrText xml:space="preserve"> PAGEREF _Toc243907986 \h </w:instrText>
            </w:r>
            <w:r w:rsidR="00D83ADD">
              <w:rPr>
                <w:noProof/>
              </w:rPr>
            </w:r>
            <w:r w:rsidR="00D83ADD">
              <w:rPr>
                <w:noProof/>
              </w:rPr>
              <w:fldChar w:fldCharType="separate"/>
            </w:r>
            <w:r w:rsidR="00D83ADD">
              <w:rPr>
                <w:noProof/>
              </w:rPr>
              <w:t>25</w:t>
            </w:r>
            <w:r w:rsidR="00D83ADD">
              <w:rPr>
                <w:noProof/>
              </w:rPr>
              <w:fldChar w:fldCharType="end"/>
            </w:r>
          </w:hyperlink>
        </w:p>
        <w:p w14:paraId="6260D322" w14:textId="29A06CF6" w:rsidR="00D83ADD" w:rsidRDefault="00E77CAF">
          <w:pPr>
            <w:pStyle w:val="TOC2"/>
            <w:rPr>
              <w:rFonts w:asciiTheme="minorHAnsi" w:eastAsiaTheme="minorEastAsia" w:hAnsiTheme="minorHAnsi" w:cstheme="minorBidi"/>
              <w:noProof/>
              <w:color w:val="auto"/>
              <w:kern w:val="2"/>
              <w:sz w:val="24"/>
              <w:szCs w:val="24"/>
              <w:lang w:val="en-GB" w:eastAsia="en-GB"/>
              <w14:ligatures w14:val="standardContextual"/>
            </w:rPr>
          </w:pPr>
          <w:hyperlink w:anchor="_Toc243907987" w:history="1">
            <w:r w:rsidR="00D83ADD" w:rsidRPr="009D0911">
              <w:rPr>
                <w:rStyle w:val="Hyperlink"/>
                <w:rFonts w:ascii="Times New Roman" w:hAnsi="Times New Roman" w:cs="Times New Roman"/>
                <w:noProof/>
                <w:lang w:val="mk-MK"/>
              </w:rPr>
              <w:t>3.4 Регионална компаративна анализа (Западен Балкан)</w:t>
            </w:r>
            <w:r w:rsidR="00D83ADD">
              <w:rPr>
                <w:noProof/>
              </w:rPr>
              <w:tab/>
            </w:r>
            <w:r w:rsidR="00D83ADD">
              <w:rPr>
                <w:noProof/>
              </w:rPr>
              <w:fldChar w:fldCharType="begin"/>
            </w:r>
            <w:r w:rsidR="00D83ADD">
              <w:rPr>
                <w:noProof/>
              </w:rPr>
              <w:instrText xml:space="preserve"> PAGEREF _Toc243907987 \h </w:instrText>
            </w:r>
            <w:r w:rsidR="00D83ADD">
              <w:rPr>
                <w:noProof/>
              </w:rPr>
            </w:r>
            <w:r w:rsidR="00D83ADD">
              <w:rPr>
                <w:noProof/>
              </w:rPr>
              <w:fldChar w:fldCharType="separate"/>
            </w:r>
            <w:r w:rsidR="00D83ADD">
              <w:rPr>
                <w:noProof/>
              </w:rPr>
              <w:t>26</w:t>
            </w:r>
            <w:r w:rsidR="00D83ADD">
              <w:rPr>
                <w:noProof/>
              </w:rPr>
              <w:fldChar w:fldCharType="end"/>
            </w:r>
          </w:hyperlink>
        </w:p>
        <w:p w14:paraId="3790BD75" w14:textId="0C645371" w:rsidR="00D83ADD" w:rsidRDefault="00E77CAF">
          <w:pPr>
            <w:pStyle w:val="TOC3"/>
            <w:rPr>
              <w:rFonts w:asciiTheme="minorHAnsi" w:eastAsiaTheme="minorEastAsia" w:hAnsiTheme="minorHAnsi" w:cstheme="minorBidi"/>
              <w:noProof/>
              <w:color w:val="auto"/>
              <w:kern w:val="2"/>
              <w:sz w:val="24"/>
              <w:szCs w:val="24"/>
              <w:lang w:val="en-GB" w:eastAsia="en-GB"/>
              <w14:ligatures w14:val="standardContextual"/>
            </w:rPr>
          </w:pPr>
          <w:hyperlink w:anchor="_Toc243907988" w:history="1">
            <w:r w:rsidR="00D83ADD" w:rsidRPr="009D0911">
              <w:rPr>
                <w:rStyle w:val="Hyperlink"/>
                <w:rFonts w:ascii="Times New Roman" w:hAnsi="Times New Roman" w:cs="Times New Roman"/>
                <w:noProof/>
                <w:lang w:val="mk-MK"/>
              </w:rPr>
              <w:t>3.4.1 Република Србија (Лидер – 7.5/10)</w:t>
            </w:r>
            <w:r w:rsidR="00D83ADD">
              <w:rPr>
                <w:noProof/>
              </w:rPr>
              <w:tab/>
            </w:r>
            <w:r w:rsidR="00D83ADD">
              <w:rPr>
                <w:noProof/>
              </w:rPr>
              <w:fldChar w:fldCharType="begin"/>
            </w:r>
            <w:r w:rsidR="00D83ADD">
              <w:rPr>
                <w:noProof/>
              </w:rPr>
              <w:instrText xml:space="preserve"> PAGEREF _Toc243907988 \h </w:instrText>
            </w:r>
            <w:r w:rsidR="00D83ADD">
              <w:rPr>
                <w:noProof/>
              </w:rPr>
            </w:r>
            <w:r w:rsidR="00D83ADD">
              <w:rPr>
                <w:noProof/>
              </w:rPr>
              <w:fldChar w:fldCharType="separate"/>
            </w:r>
            <w:r w:rsidR="00D83ADD">
              <w:rPr>
                <w:noProof/>
              </w:rPr>
              <w:t>27</w:t>
            </w:r>
            <w:r w:rsidR="00D83ADD">
              <w:rPr>
                <w:noProof/>
              </w:rPr>
              <w:fldChar w:fldCharType="end"/>
            </w:r>
          </w:hyperlink>
        </w:p>
        <w:p w14:paraId="46C0FFE1" w14:textId="16B1D28D" w:rsidR="00D83ADD" w:rsidRDefault="00E77CAF">
          <w:pPr>
            <w:pStyle w:val="TOC3"/>
            <w:rPr>
              <w:rFonts w:asciiTheme="minorHAnsi" w:eastAsiaTheme="minorEastAsia" w:hAnsiTheme="minorHAnsi" w:cstheme="minorBidi"/>
              <w:noProof/>
              <w:color w:val="auto"/>
              <w:kern w:val="2"/>
              <w:sz w:val="24"/>
              <w:szCs w:val="24"/>
              <w:lang w:val="en-GB" w:eastAsia="en-GB"/>
              <w14:ligatures w14:val="standardContextual"/>
            </w:rPr>
          </w:pPr>
          <w:hyperlink w:anchor="_Toc243907989" w:history="1">
            <w:r w:rsidR="00D83ADD" w:rsidRPr="009D0911">
              <w:rPr>
                <w:rStyle w:val="Hyperlink"/>
                <w:rFonts w:ascii="Times New Roman" w:hAnsi="Times New Roman" w:cs="Times New Roman"/>
                <w:noProof/>
                <w:lang w:val="mk-MK"/>
              </w:rPr>
              <w:t>3.4.2 Република Хрватска (ЕУ членка – 7.0/10)</w:t>
            </w:r>
            <w:r w:rsidR="00D83ADD">
              <w:rPr>
                <w:noProof/>
              </w:rPr>
              <w:tab/>
            </w:r>
            <w:r w:rsidR="00D83ADD">
              <w:rPr>
                <w:noProof/>
              </w:rPr>
              <w:fldChar w:fldCharType="begin"/>
            </w:r>
            <w:r w:rsidR="00D83ADD">
              <w:rPr>
                <w:noProof/>
              </w:rPr>
              <w:instrText xml:space="preserve"> PAGEREF _Toc243907989 \h </w:instrText>
            </w:r>
            <w:r w:rsidR="00D83ADD">
              <w:rPr>
                <w:noProof/>
              </w:rPr>
            </w:r>
            <w:r w:rsidR="00D83ADD">
              <w:rPr>
                <w:noProof/>
              </w:rPr>
              <w:fldChar w:fldCharType="separate"/>
            </w:r>
            <w:r w:rsidR="00D83ADD">
              <w:rPr>
                <w:noProof/>
              </w:rPr>
              <w:t>28</w:t>
            </w:r>
            <w:r w:rsidR="00D83ADD">
              <w:rPr>
                <w:noProof/>
              </w:rPr>
              <w:fldChar w:fldCharType="end"/>
            </w:r>
          </w:hyperlink>
        </w:p>
        <w:p w14:paraId="7525346D" w14:textId="442703F9" w:rsidR="00D83ADD" w:rsidRDefault="00E77CAF">
          <w:pPr>
            <w:pStyle w:val="TOC3"/>
            <w:rPr>
              <w:rFonts w:asciiTheme="minorHAnsi" w:eastAsiaTheme="minorEastAsia" w:hAnsiTheme="minorHAnsi" w:cstheme="minorBidi"/>
              <w:noProof/>
              <w:color w:val="auto"/>
              <w:kern w:val="2"/>
              <w:sz w:val="24"/>
              <w:szCs w:val="24"/>
              <w:lang w:val="en-GB" w:eastAsia="en-GB"/>
              <w14:ligatures w14:val="standardContextual"/>
            </w:rPr>
          </w:pPr>
          <w:hyperlink w:anchor="_Toc243907990" w:history="1">
            <w:r w:rsidR="00D83ADD" w:rsidRPr="009D0911">
              <w:rPr>
                <w:rStyle w:val="Hyperlink"/>
                <w:rFonts w:ascii="Times New Roman" w:hAnsi="Times New Roman" w:cs="Times New Roman"/>
                <w:noProof/>
                <w:lang w:val="mk-MK"/>
              </w:rPr>
              <w:t>3.4.3 Република Албанија (Брз следбеник – 6.0/10)</w:t>
            </w:r>
            <w:r w:rsidR="00D83ADD">
              <w:rPr>
                <w:noProof/>
              </w:rPr>
              <w:tab/>
            </w:r>
            <w:r w:rsidR="00D83ADD">
              <w:rPr>
                <w:noProof/>
              </w:rPr>
              <w:fldChar w:fldCharType="begin"/>
            </w:r>
            <w:r w:rsidR="00D83ADD">
              <w:rPr>
                <w:noProof/>
              </w:rPr>
              <w:instrText xml:space="preserve"> PAGEREF _Toc243907990 \h </w:instrText>
            </w:r>
            <w:r w:rsidR="00D83ADD">
              <w:rPr>
                <w:noProof/>
              </w:rPr>
            </w:r>
            <w:r w:rsidR="00D83ADD">
              <w:rPr>
                <w:noProof/>
              </w:rPr>
              <w:fldChar w:fldCharType="separate"/>
            </w:r>
            <w:r w:rsidR="00D83ADD">
              <w:rPr>
                <w:noProof/>
              </w:rPr>
              <w:t>28</w:t>
            </w:r>
            <w:r w:rsidR="00D83ADD">
              <w:rPr>
                <w:noProof/>
              </w:rPr>
              <w:fldChar w:fldCharType="end"/>
            </w:r>
          </w:hyperlink>
        </w:p>
        <w:p w14:paraId="2F5923B3" w14:textId="7DB5F7A3" w:rsidR="00D83ADD" w:rsidRDefault="00E77CAF">
          <w:pPr>
            <w:pStyle w:val="TOC3"/>
            <w:rPr>
              <w:rFonts w:asciiTheme="minorHAnsi" w:eastAsiaTheme="minorEastAsia" w:hAnsiTheme="minorHAnsi" w:cstheme="minorBidi"/>
              <w:noProof/>
              <w:color w:val="auto"/>
              <w:kern w:val="2"/>
              <w:sz w:val="24"/>
              <w:szCs w:val="24"/>
              <w:lang w:val="en-GB" w:eastAsia="en-GB"/>
              <w14:ligatures w14:val="standardContextual"/>
            </w:rPr>
          </w:pPr>
          <w:hyperlink w:anchor="_Toc243907991" w:history="1">
            <w:r w:rsidR="00D83ADD" w:rsidRPr="009D0911">
              <w:rPr>
                <w:rStyle w:val="Hyperlink"/>
                <w:rFonts w:ascii="Times New Roman" w:hAnsi="Times New Roman" w:cs="Times New Roman"/>
                <w:noProof/>
                <w:lang w:val="mk-MK"/>
              </w:rPr>
              <w:t>3.4.4 Косово и Босна и Херцеговина (Почетна фаза)</w:t>
            </w:r>
            <w:r w:rsidR="00D83ADD">
              <w:rPr>
                <w:noProof/>
              </w:rPr>
              <w:tab/>
            </w:r>
            <w:r w:rsidR="00D83ADD">
              <w:rPr>
                <w:noProof/>
              </w:rPr>
              <w:fldChar w:fldCharType="begin"/>
            </w:r>
            <w:r w:rsidR="00D83ADD">
              <w:rPr>
                <w:noProof/>
              </w:rPr>
              <w:instrText xml:space="preserve"> PAGEREF _Toc243907991 \h </w:instrText>
            </w:r>
            <w:r w:rsidR="00D83ADD">
              <w:rPr>
                <w:noProof/>
              </w:rPr>
            </w:r>
            <w:r w:rsidR="00D83ADD">
              <w:rPr>
                <w:noProof/>
              </w:rPr>
              <w:fldChar w:fldCharType="separate"/>
            </w:r>
            <w:r w:rsidR="00D83ADD">
              <w:rPr>
                <w:noProof/>
              </w:rPr>
              <w:t>30</w:t>
            </w:r>
            <w:r w:rsidR="00D83ADD">
              <w:rPr>
                <w:noProof/>
              </w:rPr>
              <w:fldChar w:fldCharType="end"/>
            </w:r>
          </w:hyperlink>
        </w:p>
        <w:p w14:paraId="09BB454D" w14:textId="594E6BEE" w:rsidR="00D83ADD" w:rsidRDefault="00E77CAF">
          <w:pPr>
            <w:pStyle w:val="TOC3"/>
            <w:rPr>
              <w:rFonts w:asciiTheme="minorHAnsi" w:eastAsiaTheme="minorEastAsia" w:hAnsiTheme="minorHAnsi" w:cstheme="minorBidi"/>
              <w:noProof/>
              <w:color w:val="auto"/>
              <w:kern w:val="2"/>
              <w:sz w:val="24"/>
              <w:szCs w:val="24"/>
              <w:lang w:val="en-GB" w:eastAsia="en-GB"/>
              <w14:ligatures w14:val="standardContextual"/>
            </w:rPr>
          </w:pPr>
          <w:hyperlink w:anchor="_Toc243907992" w:history="1">
            <w:r w:rsidR="00D83ADD" w:rsidRPr="009D0911">
              <w:rPr>
                <w:rStyle w:val="Hyperlink"/>
                <w:rFonts w:ascii="Times New Roman" w:hAnsi="Times New Roman" w:cs="Times New Roman"/>
                <w:noProof/>
                <w:lang w:val="mk-MK"/>
              </w:rPr>
              <w:t>3.4.5 Компаративен статус на ВИ стратегиите во регионот</w:t>
            </w:r>
            <w:r w:rsidR="00D83ADD">
              <w:rPr>
                <w:noProof/>
              </w:rPr>
              <w:tab/>
            </w:r>
            <w:r w:rsidR="00D83ADD">
              <w:rPr>
                <w:noProof/>
              </w:rPr>
              <w:fldChar w:fldCharType="begin"/>
            </w:r>
            <w:r w:rsidR="00D83ADD">
              <w:rPr>
                <w:noProof/>
              </w:rPr>
              <w:instrText xml:space="preserve"> PAGEREF _Toc243907992 \h </w:instrText>
            </w:r>
            <w:r w:rsidR="00D83ADD">
              <w:rPr>
                <w:noProof/>
              </w:rPr>
            </w:r>
            <w:r w:rsidR="00D83ADD">
              <w:rPr>
                <w:noProof/>
              </w:rPr>
              <w:fldChar w:fldCharType="separate"/>
            </w:r>
            <w:r w:rsidR="00D83ADD">
              <w:rPr>
                <w:noProof/>
              </w:rPr>
              <w:t>30</w:t>
            </w:r>
            <w:r w:rsidR="00D83ADD">
              <w:rPr>
                <w:noProof/>
              </w:rPr>
              <w:fldChar w:fldCharType="end"/>
            </w:r>
          </w:hyperlink>
        </w:p>
        <w:p w14:paraId="705E4215" w14:textId="075478FC" w:rsidR="00D83ADD" w:rsidRDefault="00E77CAF">
          <w:pPr>
            <w:pStyle w:val="TOC3"/>
            <w:rPr>
              <w:rFonts w:asciiTheme="minorHAnsi" w:eastAsiaTheme="minorEastAsia" w:hAnsiTheme="minorHAnsi" w:cstheme="minorBidi"/>
              <w:noProof/>
              <w:color w:val="auto"/>
              <w:kern w:val="2"/>
              <w:sz w:val="24"/>
              <w:szCs w:val="24"/>
              <w:lang w:val="en-GB" w:eastAsia="en-GB"/>
              <w14:ligatures w14:val="standardContextual"/>
            </w:rPr>
          </w:pPr>
          <w:hyperlink w:anchor="_Toc243907993" w:history="1">
            <w:r w:rsidR="00D83ADD" w:rsidRPr="009D0911">
              <w:rPr>
                <w:rStyle w:val="Hyperlink"/>
                <w:rFonts w:ascii="Times New Roman" w:hAnsi="Times New Roman" w:cs="Times New Roman"/>
                <w:noProof/>
                <w:lang w:val="mk-MK"/>
              </w:rPr>
              <w:t xml:space="preserve">3.4.6 Меѓународна споредба: </w:t>
            </w:r>
            <w:r w:rsidR="00D83ADD" w:rsidRPr="009D0911">
              <w:rPr>
                <w:rStyle w:val="Hyperlink"/>
                <w:rFonts w:ascii="Times New Roman" w:hAnsi="Times New Roman" w:cs="Times New Roman"/>
                <w:i/>
                <w:iCs/>
                <w:noProof/>
                <w:lang w:val="mk-MK"/>
              </w:rPr>
              <w:t>Oxford Insights Government AI Readiness Index</w:t>
            </w:r>
            <w:r w:rsidR="00D83ADD" w:rsidRPr="009D0911">
              <w:rPr>
                <w:rStyle w:val="Hyperlink"/>
                <w:rFonts w:ascii="Times New Roman" w:hAnsi="Times New Roman" w:cs="Times New Roman"/>
                <w:noProof/>
                <w:lang w:val="mk-MK"/>
              </w:rPr>
              <w:t xml:space="preserve"> 2025</w:t>
            </w:r>
            <w:r w:rsidR="00D83ADD">
              <w:rPr>
                <w:noProof/>
              </w:rPr>
              <w:tab/>
            </w:r>
            <w:r w:rsidR="00D83ADD">
              <w:rPr>
                <w:noProof/>
              </w:rPr>
              <w:fldChar w:fldCharType="begin"/>
            </w:r>
            <w:r w:rsidR="00D83ADD">
              <w:rPr>
                <w:noProof/>
              </w:rPr>
              <w:instrText xml:space="preserve"> PAGEREF _Toc243907993 \h </w:instrText>
            </w:r>
            <w:r w:rsidR="00D83ADD">
              <w:rPr>
                <w:noProof/>
              </w:rPr>
            </w:r>
            <w:r w:rsidR="00D83ADD">
              <w:rPr>
                <w:noProof/>
              </w:rPr>
              <w:fldChar w:fldCharType="separate"/>
            </w:r>
            <w:r w:rsidR="00D83ADD">
              <w:rPr>
                <w:noProof/>
              </w:rPr>
              <w:t>31</w:t>
            </w:r>
            <w:r w:rsidR="00D83ADD">
              <w:rPr>
                <w:noProof/>
              </w:rPr>
              <w:fldChar w:fldCharType="end"/>
            </w:r>
          </w:hyperlink>
        </w:p>
        <w:p w14:paraId="6B1A18C9" w14:textId="2169FA2C" w:rsidR="00D83ADD" w:rsidRDefault="00E77CAF">
          <w:pPr>
            <w:pStyle w:val="TOC3"/>
            <w:rPr>
              <w:rFonts w:asciiTheme="minorHAnsi" w:eastAsiaTheme="minorEastAsia" w:hAnsiTheme="minorHAnsi" w:cstheme="minorBidi"/>
              <w:noProof/>
              <w:color w:val="auto"/>
              <w:kern w:val="2"/>
              <w:sz w:val="24"/>
              <w:szCs w:val="24"/>
              <w:lang w:val="en-GB" w:eastAsia="en-GB"/>
              <w14:ligatures w14:val="standardContextual"/>
            </w:rPr>
          </w:pPr>
          <w:hyperlink w:anchor="_Toc243907994" w:history="1">
            <w:r w:rsidR="00D83ADD" w:rsidRPr="009D0911">
              <w:rPr>
                <w:rStyle w:val="Hyperlink"/>
                <w:rFonts w:ascii="Times New Roman" w:hAnsi="Times New Roman" w:cs="Times New Roman"/>
                <w:noProof/>
                <w:lang w:val="mk-MK"/>
              </w:rPr>
              <w:t>3.4.7 Заклучок и препораки за Стратегијата за употреба на ВИ</w:t>
            </w:r>
            <w:r w:rsidR="00D83ADD">
              <w:rPr>
                <w:noProof/>
              </w:rPr>
              <w:tab/>
            </w:r>
            <w:r w:rsidR="00D83ADD">
              <w:rPr>
                <w:noProof/>
              </w:rPr>
              <w:fldChar w:fldCharType="begin"/>
            </w:r>
            <w:r w:rsidR="00D83ADD">
              <w:rPr>
                <w:noProof/>
              </w:rPr>
              <w:instrText xml:space="preserve"> PAGEREF _Toc243907994 \h </w:instrText>
            </w:r>
            <w:r w:rsidR="00D83ADD">
              <w:rPr>
                <w:noProof/>
              </w:rPr>
            </w:r>
            <w:r w:rsidR="00D83ADD">
              <w:rPr>
                <w:noProof/>
              </w:rPr>
              <w:fldChar w:fldCharType="separate"/>
            </w:r>
            <w:r w:rsidR="00D83ADD">
              <w:rPr>
                <w:noProof/>
              </w:rPr>
              <w:t>33</w:t>
            </w:r>
            <w:r w:rsidR="00D83ADD">
              <w:rPr>
                <w:noProof/>
              </w:rPr>
              <w:fldChar w:fldCharType="end"/>
            </w:r>
          </w:hyperlink>
        </w:p>
        <w:p w14:paraId="6335CC48" w14:textId="4ECAA0E0" w:rsidR="00D83ADD" w:rsidRDefault="00E77CAF">
          <w:pPr>
            <w:pStyle w:val="TOC3"/>
            <w:rPr>
              <w:rFonts w:asciiTheme="minorHAnsi" w:eastAsiaTheme="minorEastAsia" w:hAnsiTheme="minorHAnsi" w:cstheme="minorBidi"/>
              <w:noProof/>
              <w:color w:val="auto"/>
              <w:kern w:val="2"/>
              <w:sz w:val="24"/>
              <w:szCs w:val="24"/>
              <w:lang w:val="en-GB" w:eastAsia="en-GB"/>
              <w14:ligatures w14:val="standardContextual"/>
            </w:rPr>
          </w:pPr>
          <w:hyperlink w:anchor="_Toc243907995" w:history="1">
            <w:r w:rsidR="00D83ADD" w:rsidRPr="009D0911">
              <w:rPr>
                <w:rStyle w:val="Hyperlink"/>
                <w:rFonts w:ascii="Times New Roman" w:hAnsi="Times New Roman" w:cs="Times New Roman"/>
                <w:noProof/>
                <w:lang w:val="mk-MK"/>
              </w:rPr>
              <w:t>Препораки за Стратегијата за употреба на ВИ</w:t>
            </w:r>
            <w:r w:rsidR="00D83ADD">
              <w:rPr>
                <w:noProof/>
              </w:rPr>
              <w:tab/>
            </w:r>
            <w:r w:rsidR="00D83ADD">
              <w:rPr>
                <w:noProof/>
              </w:rPr>
              <w:fldChar w:fldCharType="begin"/>
            </w:r>
            <w:r w:rsidR="00D83ADD">
              <w:rPr>
                <w:noProof/>
              </w:rPr>
              <w:instrText xml:space="preserve"> PAGEREF _Toc243907995 \h </w:instrText>
            </w:r>
            <w:r w:rsidR="00D83ADD">
              <w:rPr>
                <w:noProof/>
              </w:rPr>
            </w:r>
            <w:r w:rsidR="00D83ADD">
              <w:rPr>
                <w:noProof/>
              </w:rPr>
              <w:fldChar w:fldCharType="separate"/>
            </w:r>
            <w:r w:rsidR="00D83ADD">
              <w:rPr>
                <w:noProof/>
              </w:rPr>
              <w:t>34</w:t>
            </w:r>
            <w:r w:rsidR="00D83ADD">
              <w:rPr>
                <w:noProof/>
              </w:rPr>
              <w:fldChar w:fldCharType="end"/>
            </w:r>
          </w:hyperlink>
        </w:p>
        <w:p w14:paraId="21EACA56" w14:textId="32DADC5D" w:rsidR="00D83ADD" w:rsidRDefault="00E77CAF">
          <w:pPr>
            <w:pStyle w:val="TOC2"/>
            <w:rPr>
              <w:rFonts w:asciiTheme="minorHAnsi" w:eastAsiaTheme="minorEastAsia" w:hAnsiTheme="minorHAnsi" w:cstheme="minorBidi"/>
              <w:noProof/>
              <w:color w:val="auto"/>
              <w:kern w:val="2"/>
              <w:sz w:val="24"/>
              <w:szCs w:val="24"/>
              <w:lang w:val="en-GB" w:eastAsia="en-GB"/>
              <w14:ligatures w14:val="standardContextual"/>
            </w:rPr>
          </w:pPr>
          <w:hyperlink w:anchor="_Toc243907996" w:history="1">
            <w:r w:rsidR="00D83ADD" w:rsidRPr="009D0911">
              <w:rPr>
                <w:rStyle w:val="Hyperlink"/>
                <w:rFonts w:ascii="Times New Roman" w:hAnsi="Times New Roman" w:cs="Times New Roman"/>
                <w:noProof/>
                <w:lang w:val="mk-MK"/>
              </w:rPr>
              <w:t>II АНАЛИЗА НА СОСТОЈБАТА ВО РСМ</w:t>
            </w:r>
            <w:r w:rsidR="00D83ADD">
              <w:rPr>
                <w:noProof/>
              </w:rPr>
              <w:tab/>
            </w:r>
            <w:r w:rsidR="00D83ADD">
              <w:rPr>
                <w:noProof/>
              </w:rPr>
              <w:fldChar w:fldCharType="begin"/>
            </w:r>
            <w:r w:rsidR="00D83ADD">
              <w:rPr>
                <w:noProof/>
              </w:rPr>
              <w:instrText xml:space="preserve"> PAGEREF _Toc243907996 \h </w:instrText>
            </w:r>
            <w:r w:rsidR="00D83ADD">
              <w:rPr>
                <w:noProof/>
              </w:rPr>
            </w:r>
            <w:r w:rsidR="00D83ADD">
              <w:rPr>
                <w:noProof/>
              </w:rPr>
              <w:fldChar w:fldCharType="separate"/>
            </w:r>
            <w:r w:rsidR="00D83ADD">
              <w:rPr>
                <w:noProof/>
              </w:rPr>
              <w:t>35</w:t>
            </w:r>
            <w:r w:rsidR="00D83ADD">
              <w:rPr>
                <w:noProof/>
              </w:rPr>
              <w:fldChar w:fldCharType="end"/>
            </w:r>
          </w:hyperlink>
        </w:p>
        <w:p w14:paraId="47611976" w14:textId="1060B62F" w:rsidR="00D83ADD" w:rsidRDefault="00E77CAF">
          <w:pPr>
            <w:pStyle w:val="TOC2"/>
            <w:rPr>
              <w:rFonts w:asciiTheme="minorHAnsi" w:eastAsiaTheme="minorEastAsia" w:hAnsiTheme="minorHAnsi" w:cstheme="minorBidi"/>
              <w:noProof/>
              <w:color w:val="auto"/>
              <w:kern w:val="2"/>
              <w:sz w:val="24"/>
              <w:szCs w:val="24"/>
              <w:lang w:val="en-GB" w:eastAsia="en-GB"/>
              <w14:ligatures w14:val="standardContextual"/>
            </w:rPr>
          </w:pPr>
          <w:hyperlink w:anchor="_Toc243907997" w:history="1">
            <w:r w:rsidR="00D83ADD" w:rsidRPr="009D0911">
              <w:rPr>
                <w:rStyle w:val="Hyperlink"/>
                <w:rFonts w:ascii="Times New Roman" w:hAnsi="Times New Roman" w:cs="Times New Roman"/>
                <w:noProof/>
                <w:lang w:val="mk-MK"/>
              </w:rPr>
              <w:t>4. SWOT АНАЛИЗА</w:t>
            </w:r>
            <w:r w:rsidR="00D83ADD">
              <w:rPr>
                <w:noProof/>
              </w:rPr>
              <w:tab/>
            </w:r>
            <w:r w:rsidR="00D83ADD">
              <w:rPr>
                <w:noProof/>
              </w:rPr>
              <w:fldChar w:fldCharType="begin"/>
            </w:r>
            <w:r w:rsidR="00D83ADD">
              <w:rPr>
                <w:noProof/>
              </w:rPr>
              <w:instrText xml:space="preserve"> PAGEREF _Toc243907997 \h </w:instrText>
            </w:r>
            <w:r w:rsidR="00D83ADD">
              <w:rPr>
                <w:noProof/>
              </w:rPr>
            </w:r>
            <w:r w:rsidR="00D83ADD">
              <w:rPr>
                <w:noProof/>
              </w:rPr>
              <w:fldChar w:fldCharType="separate"/>
            </w:r>
            <w:r w:rsidR="00D83ADD">
              <w:rPr>
                <w:noProof/>
              </w:rPr>
              <w:t>35</w:t>
            </w:r>
            <w:r w:rsidR="00D83ADD">
              <w:rPr>
                <w:noProof/>
              </w:rPr>
              <w:fldChar w:fldCharType="end"/>
            </w:r>
          </w:hyperlink>
        </w:p>
        <w:p w14:paraId="731AA3FF" w14:textId="6DE586D6" w:rsidR="00D83ADD" w:rsidRDefault="00E77CAF">
          <w:pPr>
            <w:pStyle w:val="TOC3"/>
            <w:rPr>
              <w:rFonts w:asciiTheme="minorHAnsi" w:eastAsiaTheme="minorEastAsia" w:hAnsiTheme="minorHAnsi" w:cstheme="minorBidi"/>
              <w:noProof/>
              <w:color w:val="auto"/>
              <w:kern w:val="2"/>
              <w:sz w:val="24"/>
              <w:szCs w:val="24"/>
              <w:lang w:val="en-GB" w:eastAsia="en-GB"/>
              <w14:ligatures w14:val="standardContextual"/>
            </w:rPr>
          </w:pPr>
          <w:hyperlink w:anchor="_Toc243907998" w:history="1">
            <w:r w:rsidR="00D83ADD" w:rsidRPr="009D0911">
              <w:rPr>
                <w:rStyle w:val="Hyperlink"/>
                <w:rFonts w:ascii="Times New Roman" w:hAnsi="Times New Roman" w:cs="Times New Roman"/>
                <w:noProof/>
                <w:lang w:val="mk-MK"/>
              </w:rPr>
              <w:t>4.1 Силни страни - Внатрешни позитивни фактори</w:t>
            </w:r>
            <w:r w:rsidR="00D83ADD">
              <w:rPr>
                <w:noProof/>
              </w:rPr>
              <w:tab/>
            </w:r>
            <w:r w:rsidR="00D83ADD">
              <w:rPr>
                <w:noProof/>
              </w:rPr>
              <w:fldChar w:fldCharType="begin"/>
            </w:r>
            <w:r w:rsidR="00D83ADD">
              <w:rPr>
                <w:noProof/>
              </w:rPr>
              <w:instrText xml:space="preserve"> PAGEREF _Toc243907998 \h </w:instrText>
            </w:r>
            <w:r w:rsidR="00D83ADD">
              <w:rPr>
                <w:noProof/>
              </w:rPr>
            </w:r>
            <w:r w:rsidR="00D83ADD">
              <w:rPr>
                <w:noProof/>
              </w:rPr>
              <w:fldChar w:fldCharType="separate"/>
            </w:r>
            <w:r w:rsidR="00D83ADD">
              <w:rPr>
                <w:noProof/>
              </w:rPr>
              <w:t>35</w:t>
            </w:r>
            <w:r w:rsidR="00D83ADD">
              <w:rPr>
                <w:noProof/>
              </w:rPr>
              <w:fldChar w:fldCharType="end"/>
            </w:r>
          </w:hyperlink>
        </w:p>
        <w:p w14:paraId="60126F90" w14:textId="6245F824" w:rsidR="00D83ADD" w:rsidRDefault="00E77CAF">
          <w:pPr>
            <w:pStyle w:val="TOC3"/>
            <w:rPr>
              <w:rFonts w:asciiTheme="minorHAnsi" w:eastAsiaTheme="minorEastAsia" w:hAnsiTheme="minorHAnsi" w:cstheme="minorBidi"/>
              <w:noProof/>
              <w:color w:val="auto"/>
              <w:kern w:val="2"/>
              <w:sz w:val="24"/>
              <w:szCs w:val="24"/>
              <w:lang w:val="en-GB" w:eastAsia="en-GB"/>
              <w14:ligatures w14:val="standardContextual"/>
            </w:rPr>
          </w:pPr>
          <w:hyperlink w:anchor="_Toc243907999" w:history="1">
            <w:r w:rsidR="00D83ADD" w:rsidRPr="009D0911">
              <w:rPr>
                <w:rStyle w:val="Hyperlink"/>
                <w:rFonts w:ascii="Times New Roman" w:hAnsi="Times New Roman" w:cs="Times New Roman"/>
                <w:noProof/>
                <w:lang w:val="mk-MK"/>
              </w:rPr>
              <w:t>4.2 Слабости - Внатрешни негативни фактори</w:t>
            </w:r>
            <w:r w:rsidR="00D83ADD">
              <w:rPr>
                <w:noProof/>
              </w:rPr>
              <w:tab/>
            </w:r>
            <w:r w:rsidR="00D83ADD">
              <w:rPr>
                <w:noProof/>
              </w:rPr>
              <w:fldChar w:fldCharType="begin"/>
            </w:r>
            <w:r w:rsidR="00D83ADD">
              <w:rPr>
                <w:noProof/>
              </w:rPr>
              <w:instrText xml:space="preserve"> PAGEREF _Toc243907999 \h </w:instrText>
            </w:r>
            <w:r w:rsidR="00D83ADD">
              <w:rPr>
                <w:noProof/>
              </w:rPr>
            </w:r>
            <w:r w:rsidR="00D83ADD">
              <w:rPr>
                <w:noProof/>
              </w:rPr>
              <w:fldChar w:fldCharType="separate"/>
            </w:r>
            <w:r w:rsidR="00D83ADD">
              <w:rPr>
                <w:noProof/>
              </w:rPr>
              <w:t>37</w:t>
            </w:r>
            <w:r w:rsidR="00D83ADD">
              <w:rPr>
                <w:noProof/>
              </w:rPr>
              <w:fldChar w:fldCharType="end"/>
            </w:r>
          </w:hyperlink>
        </w:p>
        <w:p w14:paraId="3E4EBFF4" w14:textId="034DB608" w:rsidR="00D83ADD" w:rsidRDefault="00E77CAF">
          <w:pPr>
            <w:pStyle w:val="TOC3"/>
            <w:rPr>
              <w:rFonts w:asciiTheme="minorHAnsi" w:eastAsiaTheme="minorEastAsia" w:hAnsiTheme="minorHAnsi" w:cstheme="minorBidi"/>
              <w:noProof/>
              <w:color w:val="auto"/>
              <w:kern w:val="2"/>
              <w:sz w:val="24"/>
              <w:szCs w:val="24"/>
              <w:lang w:val="en-GB" w:eastAsia="en-GB"/>
              <w14:ligatures w14:val="standardContextual"/>
            </w:rPr>
          </w:pPr>
          <w:hyperlink w:anchor="_Toc243908000" w:history="1">
            <w:r w:rsidR="00D83ADD" w:rsidRPr="009D0911">
              <w:rPr>
                <w:rStyle w:val="Hyperlink"/>
                <w:rFonts w:ascii="Times New Roman" w:hAnsi="Times New Roman" w:cs="Times New Roman"/>
                <w:noProof/>
                <w:lang w:val="mk-MK"/>
              </w:rPr>
              <w:t>4.3 Можности - Надворешни позитивни фактори</w:t>
            </w:r>
            <w:r w:rsidR="00D83ADD">
              <w:rPr>
                <w:noProof/>
              </w:rPr>
              <w:tab/>
            </w:r>
            <w:r w:rsidR="00D83ADD">
              <w:rPr>
                <w:noProof/>
              </w:rPr>
              <w:fldChar w:fldCharType="begin"/>
            </w:r>
            <w:r w:rsidR="00D83ADD">
              <w:rPr>
                <w:noProof/>
              </w:rPr>
              <w:instrText xml:space="preserve"> PAGEREF _Toc243908000 \h </w:instrText>
            </w:r>
            <w:r w:rsidR="00D83ADD">
              <w:rPr>
                <w:noProof/>
              </w:rPr>
            </w:r>
            <w:r w:rsidR="00D83ADD">
              <w:rPr>
                <w:noProof/>
              </w:rPr>
              <w:fldChar w:fldCharType="separate"/>
            </w:r>
            <w:r w:rsidR="00D83ADD">
              <w:rPr>
                <w:noProof/>
              </w:rPr>
              <w:t>39</w:t>
            </w:r>
            <w:r w:rsidR="00D83ADD">
              <w:rPr>
                <w:noProof/>
              </w:rPr>
              <w:fldChar w:fldCharType="end"/>
            </w:r>
          </w:hyperlink>
        </w:p>
        <w:p w14:paraId="6E26C8E8" w14:textId="4243430A" w:rsidR="00D83ADD" w:rsidRDefault="00E77CAF">
          <w:pPr>
            <w:pStyle w:val="TOC3"/>
            <w:rPr>
              <w:rFonts w:asciiTheme="minorHAnsi" w:eastAsiaTheme="minorEastAsia" w:hAnsiTheme="minorHAnsi" w:cstheme="minorBidi"/>
              <w:noProof/>
              <w:color w:val="auto"/>
              <w:kern w:val="2"/>
              <w:sz w:val="24"/>
              <w:szCs w:val="24"/>
              <w:lang w:val="en-GB" w:eastAsia="en-GB"/>
              <w14:ligatures w14:val="standardContextual"/>
            </w:rPr>
          </w:pPr>
          <w:hyperlink w:anchor="_Toc243908001" w:history="1">
            <w:r w:rsidR="00D83ADD" w:rsidRPr="009D0911">
              <w:rPr>
                <w:rStyle w:val="Hyperlink"/>
                <w:rFonts w:ascii="Times New Roman" w:hAnsi="Times New Roman" w:cs="Times New Roman"/>
                <w:noProof/>
                <w:lang w:val="mk-MK"/>
              </w:rPr>
              <w:t>4.4 Закани - Надворешни негативни фактори</w:t>
            </w:r>
            <w:r w:rsidR="00D83ADD">
              <w:rPr>
                <w:noProof/>
              </w:rPr>
              <w:tab/>
            </w:r>
            <w:r w:rsidR="00D83ADD">
              <w:rPr>
                <w:noProof/>
              </w:rPr>
              <w:fldChar w:fldCharType="begin"/>
            </w:r>
            <w:r w:rsidR="00D83ADD">
              <w:rPr>
                <w:noProof/>
              </w:rPr>
              <w:instrText xml:space="preserve"> PAGEREF _Toc243908001 \h </w:instrText>
            </w:r>
            <w:r w:rsidR="00D83ADD">
              <w:rPr>
                <w:noProof/>
              </w:rPr>
            </w:r>
            <w:r w:rsidR="00D83ADD">
              <w:rPr>
                <w:noProof/>
              </w:rPr>
              <w:fldChar w:fldCharType="separate"/>
            </w:r>
            <w:r w:rsidR="00D83ADD">
              <w:rPr>
                <w:noProof/>
              </w:rPr>
              <w:t>40</w:t>
            </w:r>
            <w:r w:rsidR="00D83ADD">
              <w:rPr>
                <w:noProof/>
              </w:rPr>
              <w:fldChar w:fldCharType="end"/>
            </w:r>
          </w:hyperlink>
        </w:p>
        <w:p w14:paraId="60F6613E" w14:textId="3F5B8667" w:rsidR="00D83ADD" w:rsidRDefault="00E77CAF">
          <w:pPr>
            <w:pStyle w:val="TOC2"/>
            <w:rPr>
              <w:rFonts w:asciiTheme="minorHAnsi" w:eastAsiaTheme="minorEastAsia" w:hAnsiTheme="minorHAnsi" w:cstheme="minorBidi"/>
              <w:noProof/>
              <w:color w:val="auto"/>
              <w:kern w:val="2"/>
              <w:sz w:val="24"/>
              <w:szCs w:val="24"/>
              <w:lang w:val="en-GB" w:eastAsia="en-GB"/>
              <w14:ligatures w14:val="standardContextual"/>
            </w:rPr>
          </w:pPr>
          <w:hyperlink w:anchor="_Toc243908002" w:history="1">
            <w:r w:rsidR="00D83ADD" w:rsidRPr="009D0911">
              <w:rPr>
                <w:rStyle w:val="Hyperlink"/>
                <w:rFonts w:ascii="Times New Roman" w:hAnsi="Times New Roman" w:cs="Times New Roman"/>
                <w:noProof/>
                <w:lang w:val="mk-MK"/>
              </w:rPr>
              <w:t>4.5 TOWS Матрица - Стратешки опции</w:t>
            </w:r>
            <w:r w:rsidR="00D83ADD">
              <w:rPr>
                <w:noProof/>
              </w:rPr>
              <w:tab/>
            </w:r>
            <w:r w:rsidR="00D83ADD">
              <w:rPr>
                <w:noProof/>
              </w:rPr>
              <w:fldChar w:fldCharType="begin"/>
            </w:r>
            <w:r w:rsidR="00D83ADD">
              <w:rPr>
                <w:noProof/>
              </w:rPr>
              <w:instrText xml:space="preserve"> PAGEREF _Toc243908002 \h </w:instrText>
            </w:r>
            <w:r w:rsidR="00D83ADD">
              <w:rPr>
                <w:noProof/>
              </w:rPr>
            </w:r>
            <w:r w:rsidR="00D83ADD">
              <w:rPr>
                <w:noProof/>
              </w:rPr>
              <w:fldChar w:fldCharType="separate"/>
            </w:r>
            <w:r w:rsidR="00D83ADD">
              <w:rPr>
                <w:noProof/>
              </w:rPr>
              <w:t>42</w:t>
            </w:r>
            <w:r w:rsidR="00D83ADD">
              <w:rPr>
                <w:noProof/>
              </w:rPr>
              <w:fldChar w:fldCharType="end"/>
            </w:r>
          </w:hyperlink>
        </w:p>
        <w:p w14:paraId="66FD7631" w14:textId="705403C9" w:rsidR="00D83ADD" w:rsidRDefault="00E77CAF">
          <w:pPr>
            <w:pStyle w:val="TOC3"/>
            <w:rPr>
              <w:rFonts w:asciiTheme="minorHAnsi" w:eastAsiaTheme="minorEastAsia" w:hAnsiTheme="minorHAnsi" w:cstheme="minorBidi"/>
              <w:noProof/>
              <w:color w:val="auto"/>
              <w:kern w:val="2"/>
              <w:sz w:val="24"/>
              <w:szCs w:val="24"/>
              <w:lang w:val="en-GB" w:eastAsia="en-GB"/>
              <w14:ligatures w14:val="standardContextual"/>
            </w:rPr>
          </w:pPr>
          <w:hyperlink w:anchor="_Toc243908003" w:history="1">
            <w:r w:rsidR="00D83ADD" w:rsidRPr="009D0911">
              <w:rPr>
                <w:rStyle w:val="Hyperlink"/>
                <w:rFonts w:ascii="Times New Roman" w:hAnsi="Times New Roman" w:cs="Times New Roman"/>
                <w:noProof/>
                <w:lang w:val="mk-MK"/>
              </w:rPr>
              <w:t>СМ Стратегии — Раст и искористување на можности</w:t>
            </w:r>
            <w:r w:rsidR="00D83ADD">
              <w:rPr>
                <w:noProof/>
              </w:rPr>
              <w:tab/>
            </w:r>
            <w:r w:rsidR="00D83ADD">
              <w:rPr>
                <w:noProof/>
              </w:rPr>
              <w:fldChar w:fldCharType="begin"/>
            </w:r>
            <w:r w:rsidR="00D83ADD">
              <w:rPr>
                <w:noProof/>
              </w:rPr>
              <w:instrText xml:space="preserve"> PAGEREF _Toc243908003 \h </w:instrText>
            </w:r>
            <w:r w:rsidR="00D83ADD">
              <w:rPr>
                <w:noProof/>
              </w:rPr>
            </w:r>
            <w:r w:rsidR="00D83ADD">
              <w:rPr>
                <w:noProof/>
              </w:rPr>
              <w:fldChar w:fldCharType="separate"/>
            </w:r>
            <w:r w:rsidR="00D83ADD">
              <w:rPr>
                <w:noProof/>
              </w:rPr>
              <w:t>43</w:t>
            </w:r>
            <w:r w:rsidR="00D83ADD">
              <w:rPr>
                <w:noProof/>
              </w:rPr>
              <w:fldChar w:fldCharType="end"/>
            </w:r>
          </w:hyperlink>
        </w:p>
        <w:p w14:paraId="24AC1A82" w14:textId="54E041F4" w:rsidR="00D83ADD" w:rsidRDefault="00E77CAF">
          <w:pPr>
            <w:pStyle w:val="TOC3"/>
            <w:rPr>
              <w:rFonts w:asciiTheme="minorHAnsi" w:eastAsiaTheme="minorEastAsia" w:hAnsiTheme="minorHAnsi" w:cstheme="minorBidi"/>
              <w:noProof/>
              <w:color w:val="auto"/>
              <w:kern w:val="2"/>
              <w:sz w:val="24"/>
              <w:szCs w:val="24"/>
              <w:lang w:val="en-GB" w:eastAsia="en-GB"/>
              <w14:ligatures w14:val="standardContextual"/>
            </w:rPr>
          </w:pPr>
          <w:hyperlink w:anchor="_Toc243908004" w:history="1">
            <w:r w:rsidR="00D83ADD" w:rsidRPr="009D0911">
              <w:rPr>
                <w:rStyle w:val="Hyperlink"/>
                <w:rFonts w:ascii="Times New Roman" w:hAnsi="Times New Roman" w:cs="Times New Roman"/>
                <w:noProof/>
                <w:lang w:val="mk-MK"/>
              </w:rPr>
              <w:t>СЗ Стратегии — Заштита и диверзификација</w:t>
            </w:r>
            <w:r w:rsidR="00D83ADD">
              <w:rPr>
                <w:noProof/>
              </w:rPr>
              <w:tab/>
            </w:r>
            <w:r w:rsidR="00D83ADD">
              <w:rPr>
                <w:noProof/>
              </w:rPr>
              <w:fldChar w:fldCharType="begin"/>
            </w:r>
            <w:r w:rsidR="00D83ADD">
              <w:rPr>
                <w:noProof/>
              </w:rPr>
              <w:instrText xml:space="preserve"> PAGEREF _Toc243908004 \h </w:instrText>
            </w:r>
            <w:r w:rsidR="00D83ADD">
              <w:rPr>
                <w:noProof/>
              </w:rPr>
            </w:r>
            <w:r w:rsidR="00D83ADD">
              <w:rPr>
                <w:noProof/>
              </w:rPr>
              <w:fldChar w:fldCharType="separate"/>
            </w:r>
            <w:r w:rsidR="00D83ADD">
              <w:rPr>
                <w:noProof/>
              </w:rPr>
              <w:t>43</w:t>
            </w:r>
            <w:r w:rsidR="00D83ADD">
              <w:rPr>
                <w:noProof/>
              </w:rPr>
              <w:fldChar w:fldCharType="end"/>
            </w:r>
          </w:hyperlink>
        </w:p>
        <w:p w14:paraId="7981A57F" w14:textId="072C10D9" w:rsidR="00D83ADD" w:rsidRDefault="00E77CAF">
          <w:pPr>
            <w:pStyle w:val="TOC3"/>
            <w:rPr>
              <w:rFonts w:asciiTheme="minorHAnsi" w:eastAsiaTheme="minorEastAsia" w:hAnsiTheme="minorHAnsi" w:cstheme="minorBidi"/>
              <w:noProof/>
              <w:color w:val="auto"/>
              <w:kern w:val="2"/>
              <w:sz w:val="24"/>
              <w:szCs w:val="24"/>
              <w:lang w:val="en-GB" w:eastAsia="en-GB"/>
              <w14:ligatures w14:val="standardContextual"/>
            </w:rPr>
          </w:pPr>
          <w:hyperlink w:anchor="_Toc243908005" w:history="1">
            <w:r w:rsidR="00D83ADD" w:rsidRPr="009D0911">
              <w:rPr>
                <w:rStyle w:val="Hyperlink"/>
                <w:rFonts w:ascii="Times New Roman" w:hAnsi="Times New Roman" w:cs="Times New Roman"/>
                <w:noProof/>
                <w:lang w:val="mk-MK"/>
              </w:rPr>
              <w:t>Сл</w:t>
            </w:r>
            <w:r w:rsidR="00D83ADD" w:rsidRPr="009D0911">
              <w:rPr>
                <w:rStyle w:val="Hyperlink"/>
                <w:rFonts w:ascii="Times New Roman" w:hAnsi="Times New Roman" w:cs="Times New Roman"/>
                <w:noProof/>
              </w:rPr>
              <w:t>M</w:t>
            </w:r>
            <w:r w:rsidR="00D83ADD" w:rsidRPr="009D0911">
              <w:rPr>
                <w:rStyle w:val="Hyperlink"/>
                <w:rFonts w:ascii="Times New Roman" w:hAnsi="Times New Roman" w:cs="Times New Roman"/>
                <w:noProof/>
                <w:lang w:val="mk-MK"/>
              </w:rPr>
              <w:t xml:space="preserve"> Стратегии — Пресврт преку можности</w:t>
            </w:r>
            <w:r w:rsidR="00D83ADD">
              <w:rPr>
                <w:noProof/>
              </w:rPr>
              <w:tab/>
            </w:r>
            <w:r w:rsidR="00D83ADD">
              <w:rPr>
                <w:noProof/>
              </w:rPr>
              <w:fldChar w:fldCharType="begin"/>
            </w:r>
            <w:r w:rsidR="00D83ADD">
              <w:rPr>
                <w:noProof/>
              </w:rPr>
              <w:instrText xml:space="preserve"> PAGEREF _Toc243908005 \h </w:instrText>
            </w:r>
            <w:r w:rsidR="00D83ADD">
              <w:rPr>
                <w:noProof/>
              </w:rPr>
            </w:r>
            <w:r w:rsidR="00D83ADD">
              <w:rPr>
                <w:noProof/>
              </w:rPr>
              <w:fldChar w:fldCharType="separate"/>
            </w:r>
            <w:r w:rsidR="00D83ADD">
              <w:rPr>
                <w:noProof/>
              </w:rPr>
              <w:t>44</w:t>
            </w:r>
            <w:r w:rsidR="00D83ADD">
              <w:rPr>
                <w:noProof/>
              </w:rPr>
              <w:fldChar w:fldCharType="end"/>
            </w:r>
          </w:hyperlink>
        </w:p>
        <w:p w14:paraId="7DB6E2C8" w14:textId="4A0DB292" w:rsidR="00D83ADD" w:rsidRDefault="00E77CAF">
          <w:pPr>
            <w:pStyle w:val="TOC3"/>
            <w:rPr>
              <w:rFonts w:asciiTheme="minorHAnsi" w:eastAsiaTheme="minorEastAsia" w:hAnsiTheme="minorHAnsi" w:cstheme="minorBidi"/>
              <w:noProof/>
              <w:color w:val="auto"/>
              <w:kern w:val="2"/>
              <w:sz w:val="24"/>
              <w:szCs w:val="24"/>
              <w:lang w:val="en-GB" w:eastAsia="en-GB"/>
              <w14:ligatures w14:val="standardContextual"/>
            </w:rPr>
          </w:pPr>
          <w:hyperlink w:anchor="_Toc243908006" w:history="1">
            <w:r w:rsidR="00D83ADD" w:rsidRPr="009D0911">
              <w:rPr>
                <w:rStyle w:val="Hyperlink"/>
                <w:rFonts w:ascii="Times New Roman" w:hAnsi="Times New Roman" w:cs="Times New Roman"/>
                <w:noProof/>
                <w:lang w:val="mk-MK"/>
              </w:rPr>
              <w:t>СлЗ Стратегии — Одбрана и консолидација</w:t>
            </w:r>
            <w:r w:rsidR="00D83ADD">
              <w:rPr>
                <w:noProof/>
              </w:rPr>
              <w:tab/>
            </w:r>
            <w:r w:rsidR="00D83ADD">
              <w:rPr>
                <w:noProof/>
              </w:rPr>
              <w:fldChar w:fldCharType="begin"/>
            </w:r>
            <w:r w:rsidR="00D83ADD">
              <w:rPr>
                <w:noProof/>
              </w:rPr>
              <w:instrText xml:space="preserve"> PAGEREF _Toc243908006 \h </w:instrText>
            </w:r>
            <w:r w:rsidR="00D83ADD">
              <w:rPr>
                <w:noProof/>
              </w:rPr>
            </w:r>
            <w:r w:rsidR="00D83ADD">
              <w:rPr>
                <w:noProof/>
              </w:rPr>
              <w:fldChar w:fldCharType="separate"/>
            </w:r>
            <w:r w:rsidR="00D83ADD">
              <w:rPr>
                <w:noProof/>
              </w:rPr>
              <w:t>45</w:t>
            </w:r>
            <w:r w:rsidR="00D83ADD">
              <w:rPr>
                <w:noProof/>
              </w:rPr>
              <w:fldChar w:fldCharType="end"/>
            </w:r>
          </w:hyperlink>
        </w:p>
        <w:p w14:paraId="6C27175A" w14:textId="2C81C9B3" w:rsidR="00D83ADD" w:rsidRDefault="00E77CAF">
          <w:pPr>
            <w:pStyle w:val="TOC3"/>
            <w:rPr>
              <w:rFonts w:asciiTheme="minorHAnsi" w:eastAsiaTheme="minorEastAsia" w:hAnsiTheme="minorHAnsi" w:cstheme="minorBidi"/>
              <w:noProof/>
              <w:color w:val="auto"/>
              <w:kern w:val="2"/>
              <w:sz w:val="24"/>
              <w:szCs w:val="24"/>
              <w:lang w:val="en-GB" w:eastAsia="en-GB"/>
              <w14:ligatures w14:val="standardContextual"/>
            </w:rPr>
          </w:pPr>
          <w:hyperlink w:anchor="_Toc243908007" w:history="1">
            <w:r w:rsidR="00D83ADD" w:rsidRPr="009D0911">
              <w:rPr>
                <w:rStyle w:val="Hyperlink"/>
                <w:rFonts w:ascii="Times New Roman" w:hAnsi="Times New Roman" w:cs="Times New Roman"/>
                <w:noProof/>
                <w:lang w:val="mk-MK"/>
              </w:rPr>
              <w:t>Приоритизација на стратегиите</w:t>
            </w:r>
            <w:r w:rsidR="00D83ADD">
              <w:rPr>
                <w:noProof/>
              </w:rPr>
              <w:tab/>
            </w:r>
            <w:r w:rsidR="00D83ADD">
              <w:rPr>
                <w:noProof/>
              </w:rPr>
              <w:fldChar w:fldCharType="begin"/>
            </w:r>
            <w:r w:rsidR="00D83ADD">
              <w:rPr>
                <w:noProof/>
              </w:rPr>
              <w:instrText xml:space="preserve"> PAGEREF _Toc243908007 \h </w:instrText>
            </w:r>
            <w:r w:rsidR="00D83ADD">
              <w:rPr>
                <w:noProof/>
              </w:rPr>
            </w:r>
            <w:r w:rsidR="00D83ADD">
              <w:rPr>
                <w:noProof/>
              </w:rPr>
              <w:fldChar w:fldCharType="separate"/>
            </w:r>
            <w:r w:rsidR="00D83ADD">
              <w:rPr>
                <w:noProof/>
              </w:rPr>
              <w:t>46</w:t>
            </w:r>
            <w:r w:rsidR="00D83ADD">
              <w:rPr>
                <w:noProof/>
              </w:rPr>
              <w:fldChar w:fldCharType="end"/>
            </w:r>
          </w:hyperlink>
        </w:p>
        <w:p w14:paraId="32B7CBE9" w14:textId="11C838BC" w:rsidR="00D83ADD" w:rsidRDefault="00E77CAF">
          <w:pPr>
            <w:pStyle w:val="TOC2"/>
            <w:rPr>
              <w:rFonts w:asciiTheme="minorHAnsi" w:eastAsiaTheme="minorEastAsia" w:hAnsiTheme="minorHAnsi" w:cstheme="minorBidi"/>
              <w:noProof/>
              <w:color w:val="auto"/>
              <w:kern w:val="2"/>
              <w:sz w:val="24"/>
              <w:szCs w:val="24"/>
              <w:lang w:val="en-GB" w:eastAsia="en-GB"/>
              <w14:ligatures w14:val="standardContextual"/>
            </w:rPr>
          </w:pPr>
          <w:hyperlink w:anchor="_Toc243908008" w:history="1">
            <w:r w:rsidR="00D83ADD" w:rsidRPr="009D0911">
              <w:rPr>
                <w:rStyle w:val="Hyperlink"/>
                <w:rFonts w:ascii="Times New Roman" w:hAnsi="Times New Roman" w:cs="Times New Roman"/>
                <w:noProof/>
                <w:lang w:val="mk-MK"/>
              </w:rPr>
              <w:t xml:space="preserve">5. </w:t>
            </w:r>
            <w:r w:rsidR="00D83ADD" w:rsidRPr="009D0911">
              <w:rPr>
                <w:rStyle w:val="Hyperlink"/>
                <w:rFonts w:ascii="Times New Roman" w:hAnsi="Times New Roman" w:cs="Times New Roman"/>
                <w:i/>
                <w:iCs/>
                <w:noProof/>
                <w:lang w:val="mk-MK"/>
              </w:rPr>
              <w:t>PESTLE</w:t>
            </w:r>
            <w:r w:rsidR="00D83ADD" w:rsidRPr="009D0911">
              <w:rPr>
                <w:rStyle w:val="Hyperlink"/>
                <w:rFonts w:ascii="Times New Roman" w:hAnsi="Times New Roman" w:cs="Times New Roman"/>
                <w:noProof/>
                <w:lang w:val="mk-MK"/>
              </w:rPr>
              <w:t xml:space="preserve"> АНАЛИЗА</w:t>
            </w:r>
            <w:r w:rsidR="00D83ADD">
              <w:rPr>
                <w:noProof/>
              </w:rPr>
              <w:tab/>
            </w:r>
            <w:r w:rsidR="00D83ADD">
              <w:rPr>
                <w:noProof/>
              </w:rPr>
              <w:fldChar w:fldCharType="begin"/>
            </w:r>
            <w:r w:rsidR="00D83ADD">
              <w:rPr>
                <w:noProof/>
              </w:rPr>
              <w:instrText xml:space="preserve"> PAGEREF _Toc243908008 \h </w:instrText>
            </w:r>
            <w:r w:rsidR="00D83ADD">
              <w:rPr>
                <w:noProof/>
              </w:rPr>
            </w:r>
            <w:r w:rsidR="00D83ADD">
              <w:rPr>
                <w:noProof/>
              </w:rPr>
              <w:fldChar w:fldCharType="separate"/>
            </w:r>
            <w:r w:rsidR="00D83ADD">
              <w:rPr>
                <w:noProof/>
              </w:rPr>
              <w:t>47</w:t>
            </w:r>
            <w:r w:rsidR="00D83ADD">
              <w:rPr>
                <w:noProof/>
              </w:rPr>
              <w:fldChar w:fldCharType="end"/>
            </w:r>
          </w:hyperlink>
        </w:p>
        <w:p w14:paraId="501678FE" w14:textId="1BB1C132" w:rsidR="00D83ADD" w:rsidRDefault="00E77CAF">
          <w:pPr>
            <w:pStyle w:val="TOC3"/>
            <w:rPr>
              <w:rFonts w:asciiTheme="minorHAnsi" w:eastAsiaTheme="minorEastAsia" w:hAnsiTheme="minorHAnsi" w:cstheme="minorBidi"/>
              <w:noProof/>
              <w:color w:val="auto"/>
              <w:kern w:val="2"/>
              <w:sz w:val="24"/>
              <w:szCs w:val="24"/>
              <w:lang w:val="en-GB" w:eastAsia="en-GB"/>
              <w14:ligatures w14:val="standardContextual"/>
            </w:rPr>
          </w:pPr>
          <w:hyperlink w:anchor="_Toc243908009" w:history="1">
            <w:r w:rsidR="00D83ADD" w:rsidRPr="009D0911">
              <w:rPr>
                <w:rStyle w:val="Hyperlink"/>
                <w:rFonts w:ascii="Times New Roman" w:hAnsi="Times New Roman" w:cs="Times New Roman"/>
                <w:noProof/>
                <w:lang w:val="mk-MK"/>
              </w:rPr>
              <w:t>5.1 Политички фактори</w:t>
            </w:r>
            <w:r w:rsidR="00D83ADD">
              <w:rPr>
                <w:noProof/>
              </w:rPr>
              <w:tab/>
            </w:r>
            <w:r w:rsidR="00D83ADD">
              <w:rPr>
                <w:noProof/>
              </w:rPr>
              <w:fldChar w:fldCharType="begin"/>
            </w:r>
            <w:r w:rsidR="00D83ADD">
              <w:rPr>
                <w:noProof/>
              </w:rPr>
              <w:instrText xml:space="preserve"> PAGEREF _Toc243908009 \h </w:instrText>
            </w:r>
            <w:r w:rsidR="00D83ADD">
              <w:rPr>
                <w:noProof/>
              </w:rPr>
            </w:r>
            <w:r w:rsidR="00D83ADD">
              <w:rPr>
                <w:noProof/>
              </w:rPr>
              <w:fldChar w:fldCharType="separate"/>
            </w:r>
            <w:r w:rsidR="00D83ADD">
              <w:rPr>
                <w:noProof/>
              </w:rPr>
              <w:t>48</w:t>
            </w:r>
            <w:r w:rsidR="00D83ADD">
              <w:rPr>
                <w:noProof/>
              </w:rPr>
              <w:fldChar w:fldCharType="end"/>
            </w:r>
          </w:hyperlink>
        </w:p>
        <w:p w14:paraId="092C8FD4" w14:textId="6CF0B72A" w:rsidR="00D83ADD" w:rsidRDefault="00E77CAF">
          <w:pPr>
            <w:pStyle w:val="TOC3"/>
            <w:rPr>
              <w:rFonts w:asciiTheme="minorHAnsi" w:eastAsiaTheme="minorEastAsia" w:hAnsiTheme="minorHAnsi" w:cstheme="minorBidi"/>
              <w:noProof/>
              <w:color w:val="auto"/>
              <w:kern w:val="2"/>
              <w:sz w:val="24"/>
              <w:szCs w:val="24"/>
              <w:lang w:val="en-GB" w:eastAsia="en-GB"/>
              <w14:ligatures w14:val="standardContextual"/>
            </w:rPr>
          </w:pPr>
          <w:hyperlink w:anchor="_Toc243908010" w:history="1">
            <w:r w:rsidR="00D83ADD" w:rsidRPr="009D0911">
              <w:rPr>
                <w:rStyle w:val="Hyperlink"/>
                <w:rFonts w:ascii="Times New Roman" w:hAnsi="Times New Roman" w:cs="Times New Roman"/>
                <w:noProof/>
                <w:lang w:val="mk-MK"/>
              </w:rPr>
              <w:t>5.2 Економски фактори</w:t>
            </w:r>
            <w:r w:rsidR="00D83ADD">
              <w:rPr>
                <w:noProof/>
              </w:rPr>
              <w:tab/>
            </w:r>
            <w:r w:rsidR="00D83ADD">
              <w:rPr>
                <w:noProof/>
              </w:rPr>
              <w:fldChar w:fldCharType="begin"/>
            </w:r>
            <w:r w:rsidR="00D83ADD">
              <w:rPr>
                <w:noProof/>
              </w:rPr>
              <w:instrText xml:space="preserve"> PAGEREF _Toc243908010 \h </w:instrText>
            </w:r>
            <w:r w:rsidR="00D83ADD">
              <w:rPr>
                <w:noProof/>
              </w:rPr>
            </w:r>
            <w:r w:rsidR="00D83ADD">
              <w:rPr>
                <w:noProof/>
              </w:rPr>
              <w:fldChar w:fldCharType="separate"/>
            </w:r>
            <w:r w:rsidR="00D83ADD">
              <w:rPr>
                <w:noProof/>
              </w:rPr>
              <w:t>48</w:t>
            </w:r>
            <w:r w:rsidR="00D83ADD">
              <w:rPr>
                <w:noProof/>
              </w:rPr>
              <w:fldChar w:fldCharType="end"/>
            </w:r>
          </w:hyperlink>
        </w:p>
        <w:p w14:paraId="0D966C8B" w14:textId="17774D61" w:rsidR="00D83ADD" w:rsidRDefault="00E77CAF">
          <w:pPr>
            <w:pStyle w:val="TOC3"/>
            <w:rPr>
              <w:rFonts w:asciiTheme="minorHAnsi" w:eastAsiaTheme="minorEastAsia" w:hAnsiTheme="minorHAnsi" w:cstheme="minorBidi"/>
              <w:noProof/>
              <w:color w:val="auto"/>
              <w:kern w:val="2"/>
              <w:sz w:val="24"/>
              <w:szCs w:val="24"/>
              <w:lang w:val="en-GB" w:eastAsia="en-GB"/>
              <w14:ligatures w14:val="standardContextual"/>
            </w:rPr>
          </w:pPr>
          <w:hyperlink w:anchor="_Toc243908011" w:history="1">
            <w:r w:rsidR="00D83ADD" w:rsidRPr="009D0911">
              <w:rPr>
                <w:rStyle w:val="Hyperlink"/>
                <w:rFonts w:ascii="Times New Roman" w:hAnsi="Times New Roman" w:cs="Times New Roman"/>
                <w:noProof/>
                <w:lang w:val="mk-MK"/>
              </w:rPr>
              <w:t>5.3 Социјални фактори</w:t>
            </w:r>
            <w:r w:rsidR="00D83ADD">
              <w:rPr>
                <w:noProof/>
              </w:rPr>
              <w:tab/>
            </w:r>
            <w:r w:rsidR="00D83ADD">
              <w:rPr>
                <w:noProof/>
              </w:rPr>
              <w:fldChar w:fldCharType="begin"/>
            </w:r>
            <w:r w:rsidR="00D83ADD">
              <w:rPr>
                <w:noProof/>
              </w:rPr>
              <w:instrText xml:space="preserve"> PAGEREF _Toc243908011 \h </w:instrText>
            </w:r>
            <w:r w:rsidR="00D83ADD">
              <w:rPr>
                <w:noProof/>
              </w:rPr>
            </w:r>
            <w:r w:rsidR="00D83ADD">
              <w:rPr>
                <w:noProof/>
              </w:rPr>
              <w:fldChar w:fldCharType="separate"/>
            </w:r>
            <w:r w:rsidR="00D83ADD">
              <w:rPr>
                <w:noProof/>
              </w:rPr>
              <w:t>49</w:t>
            </w:r>
            <w:r w:rsidR="00D83ADD">
              <w:rPr>
                <w:noProof/>
              </w:rPr>
              <w:fldChar w:fldCharType="end"/>
            </w:r>
          </w:hyperlink>
        </w:p>
        <w:p w14:paraId="5ECED0A2" w14:textId="72991DBA" w:rsidR="00D83ADD" w:rsidRDefault="00E77CAF">
          <w:pPr>
            <w:pStyle w:val="TOC3"/>
            <w:rPr>
              <w:rFonts w:asciiTheme="minorHAnsi" w:eastAsiaTheme="minorEastAsia" w:hAnsiTheme="minorHAnsi" w:cstheme="minorBidi"/>
              <w:noProof/>
              <w:color w:val="auto"/>
              <w:kern w:val="2"/>
              <w:sz w:val="24"/>
              <w:szCs w:val="24"/>
              <w:lang w:val="en-GB" w:eastAsia="en-GB"/>
              <w14:ligatures w14:val="standardContextual"/>
            </w:rPr>
          </w:pPr>
          <w:hyperlink w:anchor="_Toc243908012" w:history="1">
            <w:r w:rsidR="00D83ADD" w:rsidRPr="009D0911">
              <w:rPr>
                <w:rStyle w:val="Hyperlink"/>
                <w:rFonts w:ascii="Times New Roman" w:hAnsi="Times New Roman" w:cs="Times New Roman"/>
                <w:noProof/>
                <w:lang w:val="mk-MK"/>
              </w:rPr>
              <w:t>5.4 Технолошки фактори</w:t>
            </w:r>
            <w:r w:rsidR="00D83ADD">
              <w:rPr>
                <w:noProof/>
              </w:rPr>
              <w:tab/>
            </w:r>
            <w:r w:rsidR="00D83ADD">
              <w:rPr>
                <w:noProof/>
              </w:rPr>
              <w:fldChar w:fldCharType="begin"/>
            </w:r>
            <w:r w:rsidR="00D83ADD">
              <w:rPr>
                <w:noProof/>
              </w:rPr>
              <w:instrText xml:space="preserve"> PAGEREF _Toc243908012 \h </w:instrText>
            </w:r>
            <w:r w:rsidR="00D83ADD">
              <w:rPr>
                <w:noProof/>
              </w:rPr>
            </w:r>
            <w:r w:rsidR="00D83ADD">
              <w:rPr>
                <w:noProof/>
              </w:rPr>
              <w:fldChar w:fldCharType="separate"/>
            </w:r>
            <w:r w:rsidR="00D83ADD">
              <w:rPr>
                <w:noProof/>
              </w:rPr>
              <w:t>50</w:t>
            </w:r>
            <w:r w:rsidR="00D83ADD">
              <w:rPr>
                <w:noProof/>
              </w:rPr>
              <w:fldChar w:fldCharType="end"/>
            </w:r>
          </w:hyperlink>
        </w:p>
        <w:p w14:paraId="3F26C346" w14:textId="30A1B268" w:rsidR="00D83ADD" w:rsidRDefault="00E77CAF">
          <w:pPr>
            <w:pStyle w:val="TOC3"/>
            <w:rPr>
              <w:rFonts w:asciiTheme="minorHAnsi" w:eastAsiaTheme="minorEastAsia" w:hAnsiTheme="minorHAnsi" w:cstheme="minorBidi"/>
              <w:noProof/>
              <w:color w:val="auto"/>
              <w:kern w:val="2"/>
              <w:sz w:val="24"/>
              <w:szCs w:val="24"/>
              <w:lang w:val="en-GB" w:eastAsia="en-GB"/>
              <w14:ligatures w14:val="standardContextual"/>
            </w:rPr>
          </w:pPr>
          <w:hyperlink w:anchor="_Toc243908013" w:history="1">
            <w:r w:rsidR="00D83ADD" w:rsidRPr="009D0911">
              <w:rPr>
                <w:rStyle w:val="Hyperlink"/>
                <w:rFonts w:ascii="Times New Roman" w:hAnsi="Times New Roman" w:cs="Times New Roman"/>
                <w:noProof/>
                <w:lang w:val="mk-MK"/>
              </w:rPr>
              <w:t>5.5 Правни фактори</w:t>
            </w:r>
            <w:r w:rsidR="00D83ADD">
              <w:rPr>
                <w:noProof/>
              </w:rPr>
              <w:tab/>
            </w:r>
            <w:r w:rsidR="00D83ADD">
              <w:rPr>
                <w:noProof/>
              </w:rPr>
              <w:fldChar w:fldCharType="begin"/>
            </w:r>
            <w:r w:rsidR="00D83ADD">
              <w:rPr>
                <w:noProof/>
              </w:rPr>
              <w:instrText xml:space="preserve"> PAGEREF _Toc243908013 \h </w:instrText>
            </w:r>
            <w:r w:rsidR="00D83ADD">
              <w:rPr>
                <w:noProof/>
              </w:rPr>
            </w:r>
            <w:r w:rsidR="00D83ADD">
              <w:rPr>
                <w:noProof/>
              </w:rPr>
              <w:fldChar w:fldCharType="separate"/>
            </w:r>
            <w:r w:rsidR="00D83ADD">
              <w:rPr>
                <w:noProof/>
              </w:rPr>
              <w:t>51</w:t>
            </w:r>
            <w:r w:rsidR="00D83ADD">
              <w:rPr>
                <w:noProof/>
              </w:rPr>
              <w:fldChar w:fldCharType="end"/>
            </w:r>
          </w:hyperlink>
        </w:p>
        <w:p w14:paraId="4D1E27E6" w14:textId="0829D345" w:rsidR="00D83ADD" w:rsidRDefault="00E77CAF">
          <w:pPr>
            <w:pStyle w:val="TOC3"/>
            <w:rPr>
              <w:rFonts w:asciiTheme="minorHAnsi" w:eastAsiaTheme="minorEastAsia" w:hAnsiTheme="minorHAnsi" w:cstheme="minorBidi"/>
              <w:noProof/>
              <w:color w:val="auto"/>
              <w:kern w:val="2"/>
              <w:sz w:val="24"/>
              <w:szCs w:val="24"/>
              <w:lang w:val="en-GB" w:eastAsia="en-GB"/>
              <w14:ligatures w14:val="standardContextual"/>
            </w:rPr>
          </w:pPr>
          <w:hyperlink w:anchor="_Toc243908014" w:history="1">
            <w:r w:rsidR="00D83ADD" w:rsidRPr="009D0911">
              <w:rPr>
                <w:rStyle w:val="Hyperlink"/>
                <w:rFonts w:ascii="Times New Roman" w:hAnsi="Times New Roman" w:cs="Times New Roman"/>
                <w:noProof/>
                <w:lang w:val="mk-MK"/>
              </w:rPr>
              <w:t>5.6 Еколошки фактори</w:t>
            </w:r>
            <w:r w:rsidR="00D83ADD">
              <w:rPr>
                <w:noProof/>
              </w:rPr>
              <w:tab/>
            </w:r>
            <w:r w:rsidR="00D83ADD">
              <w:rPr>
                <w:noProof/>
              </w:rPr>
              <w:fldChar w:fldCharType="begin"/>
            </w:r>
            <w:r w:rsidR="00D83ADD">
              <w:rPr>
                <w:noProof/>
              </w:rPr>
              <w:instrText xml:space="preserve"> PAGEREF _Toc243908014 \h </w:instrText>
            </w:r>
            <w:r w:rsidR="00D83ADD">
              <w:rPr>
                <w:noProof/>
              </w:rPr>
            </w:r>
            <w:r w:rsidR="00D83ADD">
              <w:rPr>
                <w:noProof/>
              </w:rPr>
              <w:fldChar w:fldCharType="separate"/>
            </w:r>
            <w:r w:rsidR="00D83ADD">
              <w:rPr>
                <w:noProof/>
              </w:rPr>
              <w:t>52</w:t>
            </w:r>
            <w:r w:rsidR="00D83ADD">
              <w:rPr>
                <w:noProof/>
              </w:rPr>
              <w:fldChar w:fldCharType="end"/>
            </w:r>
          </w:hyperlink>
        </w:p>
        <w:p w14:paraId="18ED89BC" w14:textId="1260CCC7" w:rsidR="00D83ADD" w:rsidRDefault="00E77CAF">
          <w:pPr>
            <w:pStyle w:val="TOC2"/>
            <w:rPr>
              <w:rFonts w:asciiTheme="minorHAnsi" w:eastAsiaTheme="minorEastAsia" w:hAnsiTheme="minorHAnsi" w:cstheme="minorBidi"/>
              <w:noProof/>
              <w:color w:val="auto"/>
              <w:kern w:val="2"/>
              <w:sz w:val="24"/>
              <w:szCs w:val="24"/>
              <w:lang w:val="en-GB" w:eastAsia="en-GB"/>
              <w14:ligatures w14:val="standardContextual"/>
            </w:rPr>
          </w:pPr>
          <w:hyperlink w:anchor="_Toc243908015" w:history="1">
            <w:r w:rsidR="00D83ADD" w:rsidRPr="009D0911">
              <w:rPr>
                <w:rStyle w:val="Hyperlink"/>
                <w:rFonts w:ascii="Times New Roman" w:hAnsi="Times New Roman" w:cs="Times New Roman"/>
                <w:noProof/>
              </w:rPr>
              <w:t>ПРИОРИТЕТНИ ОБЛАСТИ</w:t>
            </w:r>
            <w:r w:rsidR="00D83ADD">
              <w:rPr>
                <w:noProof/>
              </w:rPr>
              <w:tab/>
            </w:r>
            <w:r w:rsidR="00D83ADD">
              <w:rPr>
                <w:noProof/>
              </w:rPr>
              <w:fldChar w:fldCharType="begin"/>
            </w:r>
            <w:r w:rsidR="00D83ADD">
              <w:rPr>
                <w:noProof/>
              </w:rPr>
              <w:instrText xml:space="preserve"> PAGEREF _Toc243908015 \h </w:instrText>
            </w:r>
            <w:r w:rsidR="00D83ADD">
              <w:rPr>
                <w:noProof/>
              </w:rPr>
            </w:r>
            <w:r w:rsidR="00D83ADD">
              <w:rPr>
                <w:noProof/>
              </w:rPr>
              <w:fldChar w:fldCharType="separate"/>
            </w:r>
            <w:r w:rsidR="00D83ADD">
              <w:rPr>
                <w:noProof/>
              </w:rPr>
              <w:t>53</w:t>
            </w:r>
            <w:r w:rsidR="00D83ADD">
              <w:rPr>
                <w:noProof/>
              </w:rPr>
              <w:fldChar w:fldCharType="end"/>
            </w:r>
          </w:hyperlink>
        </w:p>
        <w:p w14:paraId="6BC9A957" w14:textId="6372432A" w:rsidR="00D83ADD" w:rsidRDefault="00E77CAF">
          <w:pPr>
            <w:pStyle w:val="TOC2"/>
            <w:rPr>
              <w:rFonts w:asciiTheme="minorHAnsi" w:eastAsiaTheme="minorEastAsia" w:hAnsiTheme="minorHAnsi" w:cstheme="minorBidi"/>
              <w:noProof/>
              <w:color w:val="auto"/>
              <w:kern w:val="2"/>
              <w:sz w:val="24"/>
              <w:szCs w:val="24"/>
              <w:lang w:val="en-GB" w:eastAsia="en-GB"/>
              <w14:ligatures w14:val="standardContextual"/>
            </w:rPr>
          </w:pPr>
          <w:hyperlink w:anchor="_Toc243908016" w:history="1">
            <w:r w:rsidR="00D83ADD" w:rsidRPr="009D0911">
              <w:rPr>
                <w:rStyle w:val="Hyperlink"/>
                <w:rFonts w:ascii="Times New Roman" w:hAnsi="Times New Roman" w:cs="Times New Roman"/>
                <w:noProof/>
                <w:lang w:val="mk-MK"/>
              </w:rPr>
              <w:t>6. ТЕОРИЈА НА ПРОМЕНА (</w:t>
            </w:r>
            <w:r w:rsidR="00D83ADD" w:rsidRPr="009D0911">
              <w:rPr>
                <w:rStyle w:val="Hyperlink"/>
                <w:rFonts w:ascii="Times New Roman" w:hAnsi="Times New Roman" w:cs="Times New Roman"/>
                <w:i/>
                <w:iCs/>
                <w:noProof/>
                <w:lang w:val="mk-MK"/>
              </w:rPr>
              <w:t>Theory of Change</w:t>
            </w:r>
            <w:r w:rsidR="00D83ADD" w:rsidRPr="009D0911">
              <w:rPr>
                <w:rStyle w:val="Hyperlink"/>
                <w:rFonts w:ascii="Times New Roman" w:hAnsi="Times New Roman" w:cs="Times New Roman"/>
                <w:noProof/>
                <w:lang w:val="mk-MK"/>
              </w:rPr>
              <w:t>)</w:t>
            </w:r>
            <w:r w:rsidR="00D83ADD">
              <w:rPr>
                <w:noProof/>
              </w:rPr>
              <w:tab/>
            </w:r>
            <w:r w:rsidR="00D83ADD">
              <w:rPr>
                <w:noProof/>
              </w:rPr>
              <w:fldChar w:fldCharType="begin"/>
            </w:r>
            <w:r w:rsidR="00D83ADD">
              <w:rPr>
                <w:noProof/>
              </w:rPr>
              <w:instrText xml:space="preserve"> PAGEREF _Toc243908016 \h </w:instrText>
            </w:r>
            <w:r w:rsidR="00D83ADD">
              <w:rPr>
                <w:noProof/>
              </w:rPr>
            </w:r>
            <w:r w:rsidR="00D83ADD">
              <w:rPr>
                <w:noProof/>
              </w:rPr>
              <w:fldChar w:fldCharType="separate"/>
            </w:r>
            <w:r w:rsidR="00D83ADD">
              <w:rPr>
                <w:noProof/>
              </w:rPr>
              <w:t>55</w:t>
            </w:r>
            <w:r w:rsidR="00D83ADD">
              <w:rPr>
                <w:noProof/>
              </w:rPr>
              <w:fldChar w:fldCharType="end"/>
            </w:r>
          </w:hyperlink>
        </w:p>
        <w:p w14:paraId="327269B7" w14:textId="3A56A737" w:rsidR="00D83ADD" w:rsidRDefault="00E77CAF">
          <w:pPr>
            <w:pStyle w:val="TOC3"/>
            <w:rPr>
              <w:rFonts w:asciiTheme="minorHAnsi" w:eastAsiaTheme="minorEastAsia" w:hAnsiTheme="minorHAnsi" w:cstheme="minorBidi"/>
              <w:noProof/>
              <w:color w:val="auto"/>
              <w:kern w:val="2"/>
              <w:sz w:val="24"/>
              <w:szCs w:val="24"/>
              <w:lang w:val="en-GB" w:eastAsia="en-GB"/>
              <w14:ligatures w14:val="standardContextual"/>
            </w:rPr>
          </w:pPr>
          <w:hyperlink w:anchor="_Toc243908017" w:history="1">
            <w:r w:rsidR="00D83ADD" w:rsidRPr="009D0911">
              <w:rPr>
                <w:rStyle w:val="Hyperlink"/>
                <w:rFonts w:ascii="Times New Roman" w:hAnsi="Times New Roman" w:cs="Times New Roman"/>
                <w:noProof/>
                <w:lang w:val="mk-MK"/>
              </w:rPr>
              <w:t>6.1 Дефиниција на проблемот и анализа на коренски причини</w:t>
            </w:r>
            <w:r w:rsidR="00D83ADD">
              <w:rPr>
                <w:noProof/>
              </w:rPr>
              <w:tab/>
            </w:r>
            <w:r w:rsidR="00D83ADD">
              <w:rPr>
                <w:noProof/>
              </w:rPr>
              <w:fldChar w:fldCharType="begin"/>
            </w:r>
            <w:r w:rsidR="00D83ADD">
              <w:rPr>
                <w:noProof/>
              </w:rPr>
              <w:instrText xml:space="preserve"> PAGEREF _Toc243908017 \h </w:instrText>
            </w:r>
            <w:r w:rsidR="00D83ADD">
              <w:rPr>
                <w:noProof/>
              </w:rPr>
            </w:r>
            <w:r w:rsidR="00D83ADD">
              <w:rPr>
                <w:noProof/>
              </w:rPr>
              <w:fldChar w:fldCharType="separate"/>
            </w:r>
            <w:r w:rsidR="00D83ADD">
              <w:rPr>
                <w:noProof/>
              </w:rPr>
              <w:t>55</w:t>
            </w:r>
            <w:r w:rsidR="00D83ADD">
              <w:rPr>
                <w:noProof/>
              </w:rPr>
              <w:fldChar w:fldCharType="end"/>
            </w:r>
          </w:hyperlink>
        </w:p>
        <w:p w14:paraId="6A4E55BD" w14:textId="70CAE408" w:rsidR="00D83ADD" w:rsidRDefault="00E77CAF">
          <w:pPr>
            <w:pStyle w:val="TOC3"/>
            <w:rPr>
              <w:rFonts w:asciiTheme="minorHAnsi" w:eastAsiaTheme="minorEastAsia" w:hAnsiTheme="minorHAnsi" w:cstheme="minorBidi"/>
              <w:noProof/>
              <w:color w:val="auto"/>
              <w:kern w:val="2"/>
              <w:sz w:val="24"/>
              <w:szCs w:val="24"/>
              <w:lang w:val="en-GB" w:eastAsia="en-GB"/>
              <w14:ligatures w14:val="standardContextual"/>
            </w:rPr>
          </w:pPr>
          <w:hyperlink w:anchor="_Toc243908018" w:history="1">
            <w:r w:rsidR="00D83ADD" w:rsidRPr="009D0911">
              <w:rPr>
                <w:rStyle w:val="Hyperlink"/>
                <w:rFonts w:ascii="Times New Roman" w:hAnsi="Times New Roman" w:cs="Times New Roman"/>
                <w:noProof/>
                <w:lang w:val="mk-MK"/>
              </w:rPr>
              <w:t>6.2 Визија за промена и посакувана состојба</w:t>
            </w:r>
            <w:r w:rsidR="00D83ADD">
              <w:rPr>
                <w:noProof/>
              </w:rPr>
              <w:tab/>
            </w:r>
            <w:r w:rsidR="00D83ADD">
              <w:rPr>
                <w:noProof/>
              </w:rPr>
              <w:fldChar w:fldCharType="begin"/>
            </w:r>
            <w:r w:rsidR="00D83ADD">
              <w:rPr>
                <w:noProof/>
              </w:rPr>
              <w:instrText xml:space="preserve"> PAGEREF _Toc243908018 \h </w:instrText>
            </w:r>
            <w:r w:rsidR="00D83ADD">
              <w:rPr>
                <w:noProof/>
              </w:rPr>
            </w:r>
            <w:r w:rsidR="00D83ADD">
              <w:rPr>
                <w:noProof/>
              </w:rPr>
              <w:fldChar w:fldCharType="separate"/>
            </w:r>
            <w:r w:rsidR="00D83ADD">
              <w:rPr>
                <w:noProof/>
              </w:rPr>
              <w:t>56</w:t>
            </w:r>
            <w:r w:rsidR="00D83ADD">
              <w:rPr>
                <w:noProof/>
              </w:rPr>
              <w:fldChar w:fldCharType="end"/>
            </w:r>
          </w:hyperlink>
        </w:p>
        <w:p w14:paraId="5A3C1FB5" w14:textId="7E4A677D" w:rsidR="00D83ADD" w:rsidRDefault="00E77CAF">
          <w:pPr>
            <w:pStyle w:val="TOC3"/>
            <w:rPr>
              <w:rFonts w:asciiTheme="minorHAnsi" w:eastAsiaTheme="minorEastAsia" w:hAnsiTheme="minorHAnsi" w:cstheme="minorBidi"/>
              <w:noProof/>
              <w:color w:val="auto"/>
              <w:kern w:val="2"/>
              <w:sz w:val="24"/>
              <w:szCs w:val="24"/>
              <w:lang w:val="en-GB" w:eastAsia="en-GB"/>
              <w14:ligatures w14:val="standardContextual"/>
            </w:rPr>
          </w:pPr>
          <w:hyperlink w:anchor="_Toc243908019" w:history="1">
            <w:r w:rsidR="00D83ADD" w:rsidRPr="009D0911">
              <w:rPr>
                <w:rStyle w:val="Hyperlink"/>
                <w:rFonts w:ascii="Times New Roman" w:hAnsi="Times New Roman" w:cs="Times New Roman"/>
                <w:noProof/>
                <w:lang w:val="mk-MK"/>
              </w:rPr>
              <w:t xml:space="preserve">6.3 Логика на промена — Детален </w:t>
            </w:r>
            <w:r w:rsidR="00D83ADD" w:rsidRPr="009D0911">
              <w:rPr>
                <w:rStyle w:val="Hyperlink"/>
                <w:rFonts w:ascii="Times New Roman" w:hAnsi="Times New Roman" w:cs="Times New Roman"/>
                <w:i/>
                <w:iCs/>
                <w:noProof/>
                <w:lang w:val="mk-MK"/>
              </w:rPr>
              <w:t>INPUTS-IMPACT</w:t>
            </w:r>
            <w:r w:rsidR="00D83ADD" w:rsidRPr="009D0911">
              <w:rPr>
                <w:rStyle w:val="Hyperlink"/>
                <w:rFonts w:ascii="Times New Roman" w:hAnsi="Times New Roman" w:cs="Times New Roman"/>
                <w:noProof/>
                <w:lang w:val="mk-MK"/>
              </w:rPr>
              <w:t xml:space="preserve">  синџир</w:t>
            </w:r>
            <w:r w:rsidR="00D83ADD">
              <w:rPr>
                <w:noProof/>
              </w:rPr>
              <w:tab/>
            </w:r>
            <w:r w:rsidR="00D83ADD">
              <w:rPr>
                <w:noProof/>
              </w:rPr>
              <w:fldChar w:fldCharType="begin"/>
            </w:r>
            <w:r w:rsidR="00D83ADD">
              <w:rPr>
                <w:noProof/>
              </w:rPr>
              <w:instrText xml:space="preserve"> PAGEREF _Toc243908019 \h </w:instrText>
            </w:r>
            <w:r w:rsidR="00D83ADD">
              <w:rPr>
                <w:noProof/>
              </w:rPr>
            </w:r>
            <w:r w:rsidR="00D83ADD">
              <w:rPr>
                <w:noProof/>
              </w:rPr>
              <w:fldChar w:fldCharType="separate"/>
            </w:r>
            <w:r w:rsidR="00D83ADD">
              <w:rPr>
                <w:noProof/>
              </w:rPr>
              <w:t>57</w:t>
            </w:r>
            <w:r w:rsidR="00D83ADD">
              <w:rPr>
                <w:noProof/>
              </w:rPr>
              <w:fldChar w:fldCharType="end"/>
            </w:r>
          </w:hyperlink>
        </w:p>
        <w:p w14:paraId="4F9939BF" w14:textId="18792284" w:rsidR="00D83ADD" w:rsidRDefault="00E77CAF">
          <w:pPr>
            <w:pStyle w:val="TOC3"/>
            <w:rPr>
              <w:rFonts w:asciiTheme="minorHAnsi" w:eastAsiaTheme="minorEastAsia" w:hAnsiTheme="minorHAnsi" w:cstheme="minorBidi"/>
              <w:noProof/>
              <w:color w:val="auto"/>
              <w:kern w:val="2"/>
              <w:sz w:val="24"/>
              <w:szCs w:val="24"/>
              <w:lang w:val="en-GB" w:eastAsia="en-GB"/>
              <w14:ligatures w14:val="standardContextual"/>
            </w:rPr>
          </w:pPr>
          <w:hyperlink w:anchor="_Toc243908020" w:history="1">
            <w:r w:rsidR="00D83ADD" w:rsidRPr="009D0911">
              <w:rPr>
                <w:rStyle w:val="Hyperlink"/>
                <w:rFonts w:ascii="Times New Roman" w:hAnsi="Times New Roman" w:cs="Times New Roman"/>
                <w:noProof/>
                <w:lang w:val="mk-MK"/>
              </w:rPr>
              <w:t>6.4 Клучни претпоставки за успех</w:t>
            </w:r>
            <w:r w:rsidR="00D83ADD">
              <w:rPr>
                <w:noProof/>
              </w:rPr>
              <w:tab/>
            </w:r>
            <w:r w:rsidR="00D83ADD">
              <w:rPr>
                <w:noProof/>
              </w:rPr>
              <w:fldChar w:fldCharType="begin"/>
            </w:r>
            <w:r w:rsidR="00D83ADD">
              <w:rPr>
                <w:noProof/>
              </w:rPr>
              <w:instrText xml:space="preserve"> PAGEREF _Toc243908020 \h </w:instrText>
            </w:r>
            <w:r w:rsidR="00D83ADD">
              <w:rPr>
                <w:noProof/>
              </w:rPr>
            </w:r>
            <w:r w:rsidR="00D83ADD">
              <w:rPr>
                <w:noProof/>
              </w:rPr>
              <w:fldChar w:fldCharType="separate"/>
            </w:r>
            <w:r w:rsidR="00D83ADD">
              <w:rPr>
                <w:noProof/>
              </w:rPr>
              <w:t>59</w:t>
            </w:r>
            <w:r w:rsidR="00D83ADD">
              <w:rPr>
                <w:noProof/>
              </w:rPr>
              <w:fldChar w:fldCharType="end"/>
            </w:r>
          </w:hyperlink>
        </w:p>
        <w:p w14:paraId="444929CE" w14:textId="4BDD4912" w:rsidR="00D83ADD" w:rsidRDefault="00E77CAF">
          <w:pPr>
            <w:pStyle w:val="TOC3"/>
            <w:rPr>
              <w:rFonts w:asciiTheme="minorHAnsi" w:eastAsiaTheme="minorEastAsia" w:hAnsiTheme="minorHAnsi" w:cstheme="minorBidi"/>
              <w:noProof/>
              <w:color w:val="auto"/>
              <w:kern w:val="2"/>
              <w:sz w:val="24"/>
              <w:szCs w:val="24"/>
              <w:lang w:val="en-GB" w:eastAsia="en-GB"/>
              <w14:ligatures w14:val="standardContextual"/>
            </w:rPr>
          </w:pPr>
          <w:hyperlink w:anchor="_Toc243908021" w:history="1">
            <w:r w:rsidR="00D83ADD" w:rsidRPr="009D0911">
              <w:rPr>
                <w:rStyle w:val="Hyperlink"/>
                <w:rFonts w:ascii="Times New Roman" w:hAnsi="Times New Roman" w:cs="Times New Roman"/>
                <w:noProof/>
                <w:lang w:val="mk-MK"/>
              </w:rPr>
              <w:t>6.5 Ризици и стратегии за намалување</w:t>
            </w:r>
            <w:r w:rsidR="00D83ADD">
              <w:rPr>
                <w:noProof/>
              </w:rPr>
              <w:tab/>
            </w:r>
            <w:r w:rsidR="00D83ADD">
              <w:rPr>
                <w:noProof/>
              </w:rPr>
              <w:fldChar w:fldCharType="begin"/>
            </w:r>
            <w:r w:rsidR="00D83ADD">
              <w:rPr>
                <w:noProof/>
              </w:rPr>
              <w:instrText xml:space="preserve"> PAGEREF _Toc243908021 \h </w:instrText>
            </w:r>
            <w:r w:rsidR="00D83ADD">
              <w:rPr>
                <w:noProof/>
              </w:rPr>
            </w:r>
            <w:r w:rsidR="00D83ADD">
              <w:rPr>
                <w:noProof/>
              </w:rPr>
              <w:fldChar w:fldCharType="separate"/>
            </w:r>
            <w:r w:rsidR="00D83ADD">
              <w:rPr>
                <w:noProof/>
              </w:rPr>
              <w:t>59</w:t>
            </w:r>
            <w:r w:rsidR="00D83ADD">
              <w:rPr>
                <w:noProof/>
              </w:rPr>
              <w:fldChar w:fldCharType="end"/>
            </w:r>
          </w:hyperlink>
        </w:p>
        <w:p w14:paraId="45D5A05F" w14:textId="274EAF57" w:rsidR="00D83ADD" w:rsidRDefault="00E77CAF">
          <w:pPr>
            <w:pStyle w:val="TOC3"/>
            <w:rPr>
              <w:rFonts w:asciiTheme="minorHAnsi" w:eastAsiaTheme="minorEastAsia" w:hAnsiTheme="minorHAnsi" w:cstheme="minorBidi"/>
              <w:noProof/>
              <w:color w:val="auto"/>
              <w:kern w:val="2"/>
              <w:sz w:val="24"/>
              <w:szCs w:val="24"/>
              <w:lang w:val="en-GB" w:eastAsia="en-GB"/>
              <w14:ligatures w14:val="standardContextual"/>
            </w:rPr>
          </w:pPr>
          <w:hyperlink w:anchor="_Toc243908022" w:history="1">
            <w:r w:rsidR="00D83ADD" w:rsidRPr="009D0911">
              <w:rPr>
                <w:rStyle w:val="Hyperlink"/>
                <w:rFonts w:ascii="Times New Roman" w:hAnsi="Times New Roman" w:cs="Times New Roman"/>
                <w:noProof/>
                <w:lang w:val="mk-MK"/>
              </w:rPr>
              <w:t>6.6 Механизми за мониторинг и адаптација</w:t>
            </w:r>
            <w:r w:rsidR="00D83ADD">
              <w:rPr>
                <w:noProof/>
              </w:rPr>
              <w:tab/>
            </w:r>
            <w:r w:rsidR="00D83ADD">
              <w:rPr>
                <w:noProof/>
              </w:rPr>
              <w:fldChar w:fldCharType="begin"/>
            </w:r>
            <w:r w:rsidR="00D83ADD">
              <w:rPr>
                <w:noProof/>
              </w:rPr>
              <w:instrText xml:space="preserve"> PAGEREF _Toc243908022 \h </w:instrText>
            </w:r>
            <w:r w:rsidR="00D83ADD">
              <w:rPr>
                <w:noProof/>
              </w:rPr>
            </w:r>
            <w:r w:rsidR="00D83ADD">
              <w:rPr>
                <w:noProof/>
              </w:rPr>
              <w:fldChar w:fldCharType="separate"/>
            </w:r>
            <w:r w:rsidR="00D83ADD">
              <w:rPr>
                <w:noProof/>
              </w:rPr>
              <w:t>61</w:t>
            </w:r>
            <w:r w:rsidR="00D83ADD">
              <w:rPr>
                <w:noProof/>
              </w:rPr>
              <w:fldChar w:fldCharType="end"/>
            </w:r>
          </w:hyperlink>
        </w:p>
        <w:p w14:paraId="2F7642DD" w14:textId="4DC4F806" w:rsidR="00D83ADD" w:rsidRDefault="00E77CAF">
          <w:pPr>
            <w:pStyle w:val="TOC2"/>
            <w:rPr>
              <w:rFonts w:asciiTheme="minorHAnsi" w:eastAsiaTheme="minorEastAsia" w:hAnsiTheme="minorHAnsi" w:cstheme="minorBidi"/>
              <w:noProof/>
              <w:color w:val="auto"/>
              <w:kern w:val="2"/>
              <w:sz w:val="24"/>
              <w:szCs w:val="24"/>
              <w:lang w:val="en-GB" w:eastAsia="en-GB"/>
              <w14:ligatures w14:val="standardContextual"/>
            </w:rPr>
          </w:pPr>
          <w:hyperlink w:anchor="_Toc243908023" w:history="1">
            <w:r w:rsidR="00D83ADD" w:rsidRPr="009D0911">
              <w:rPr>
                <w:rStyle w:val="Hyperlink"/>
                <w:rFonts w:ascii="Times New Roman" w:hAnsi="Times New Roman" w:cs="Times New Roman"/>
                <w:noProof/>
                <w:lang w:val="mk-MK"/>
              </w:rPr>
              <w:t>7. ЛОГИЧКА РАМКА</w:t>
            </w:r>
            <w:r w:rsidR="00D83ADD">
              <w:rPr>
                <w:noProof/>
              </w:rPr>
              <w:tab/>
            </w:r>
            <w:r w:rsidR="00D83ADD">
              <w:rPr>
                <w:noProof/>
              </w:rPr>
              <w:fldChar w:fldCharType="begin"/>
            </w:r>
            <w:r w:rsidR="00D83ADD">
              <w:rPr>
                <w:noProof/>
              </w:rPr>
              <w:instrText xml:space="preserve"> PAGEREF _Toc243908023 \h </w:instrText>
            </w:r>
            <w:r w:rsidR="00D83ADD">
              <w:rPr>
                <w:noProof/>
              </w:rPr>
            </w:r>
            <w:r w:rsidR="00D83ADD">
              <w:rPr>
                <w:noProof/>
              </w:rPr>
              <w:fldChar w:fldCharType="separate"/>
            </w:r>
            <w:r w:rsidR="00D83ADD">
              <w:rPr>
                <w:noProof/>
              </w:rPr>
              <w:t>62</w:t>
            </w:r>
            <w:r w:rsidR="00D83ADD">
              <w:rPr>
                <w:noProof/>
              </w:rPr>
              <w:fldChar w:fldCharType="end"/>
            </w:r>
          </w:hyperlink>
        </w:p>
        <w:p w14:paraId="66EFF6C5" w14:textId="7C08EC76" w:rsidR="00D83ADD" w:rsidRDefault="00E77CAF">
          <w:pPr>
            <w:pStyle w:val="TOC2"/>
            <w:rPr>
              <w:rFonts w:asciiTheme="minorHAnsi" w:eastAsiaTheme="minorEastAsia" w:hAnsiTheme="minorHAnsi" w:cstheme="minorBidi"/>
              <w:noProof/>
              <w:color w:val="auto"/>
              <w:kern w:val="2"/>
              <w:sz w:val="24"/>
              <w:szCs w:val="24"/>
              <w:lang w:val="en-GB" w:eastAsia="en-GB"/>
              <w14:ligatures w14:val="standardContextual"/>
            </w:rPr>
          </w:pPr>
          <w:hyperlink w:anchor="_Toc243908024" w:history="1">
            <w:r w:rsidR="00D83ADD" w:rsidRPr="009D0911">
              <w:rPr>
                <w:rStyle w:val="Hyperlink"/>
                <w:rFonts w:ascii="Times New Roman" w:hAnsi="Times New Roman" w:cs="Times New Roman"/>
                <w:noProof/>
                <w:lang w:val="mk-MK"/>
              </w:rPr>
              <w:t>ЗАКЛУЧОЦИ И ПРЕПОРАКИ</w:t>
            </w:r>
            <w:r w:rsidR="00D83ADD">
              <w:rPr>
                <w:noProof/>
              </w:rPr>
              <w:tab/>
            </w:r>
            <w:r w:rsidR="00D83ADD">
              <w:rPr>
                <w:noProof/>
              </w:rPr>
              <w:fldChar w:fldCharType="begin"/>
            </w:r>
            <w:r w:rsidR="00D83ADD">
              <w:rPr>
                <w:noProof/>
              </w:rPr>
              <w:instrText xml:space="preserve"> PAGEREF _Toc243908024 \h </w:instrText>
            </w:r>
            <w:r w:rsidR="00D83ADD">
              <w:rPr>
                <w:noProof/>
              </w:rPr>
            </w:r>
            <w:r w:rsidR="00D83ADD">
              <w:rPr>
                <w:noProof/>
              </w:rPr>
              <w:fldChar w:fldCharType="separate"/>
            </w:r>
            <w:r w:rsidR="00D83ADD">
              <w:rPr>
                <w:noProof/>
              </w:rPr>
              <w:t>63</w:t>
            </w:r>
            <w:r w:rsidR="00D83ADD">
              <w:rPr>
                <w:noProof/>
              </w:rPr>
              <w:fldChar w:fldCharType="end"/>
            </w:r>
          </w:hyperlink>
        </w:p>
        <w:p w14:paraId="1EDABF48" w14:textId="0D502730" w:rsidR="00D83ADD" w:rsidRDefault="00E77CAF">
          <w:pPr>
            <w:pStyle w:val="TOC2"/>
            <w:rPr>
              <w:rFonts w:asciiTheme="minorHAnsi" w:eastAsiaTheme="minorEastAsia" w:hAnsiTheme="minorHAnsi" w:cstheme="minorBidi"/>
              <w:noProof/>
              <w:color w:val="auto"/>
              <w:kern w:val="2"/>
              <w:sz w:val="24"/>
              <w:szCs w:val="24"/>
              <w:lang w:val="en-GB" w:eastAsia="en-GB"/>
              <w14:ligatures w14:val="standardContextual"/>
            </w:rPr>
          </w:pPr>
          <w:hyperlink w:anchor="_Toc243908025" w:history="1">
            <w:r w:rsidR="00D83ADD" w:rsidRPr="009D0911">
              <w:rPr>
                <w:rStyle w:val="Hyperlink"/>
                <w:rFonts w:ascii="Times New Roman" w:hAnsi="Times New Roman" w:cs="Times New Roman"/>
                <w:noProof/>
                <w:lang w:val="mk-MK"/>
              </w:rPr>
              <w:t>8. ВИЗИЈА, МИСИЈА И СТРАТЕШКИ ЦЕЛИ</w:t>
            </w:r>
            <w:r w:rsidR="00D83ADD">
              <w:rPr>
                <w:noProof/>
              </w:rPr>
              <w:tab/>
            </w:r>
            <w:r w:rsidR="00D83ADD">
              <w:rPr>
                <w:noProof/>
              </w:rPr>
              <w:fldChar w:fldCharType="begin"/>
            </w:r>
            <w:r w:rsidR="00D83ADD">
              <w:rPr>
                <w:noProof/>
              </w:rPr>
              <w:instrText xml:space="preserve"> PAGEREF _Toc243908025 \h </w:instrText>
            </w:r>
            <w:r w:rsidR="00D83ADD">
              <w:rPr>
                <w:noProof/>
              </w:rPr>
            </w:r>
            <w:r w:rsidR="00D83ADD">
              <w:rPr>
                <w:noProof/>
              </w:rPr>
              <w:fldChar w:fldCharType="separate"/>
            </w:r>
            <w:r w:rsidR="00D83ADD">
              <w:rPr>
                <w:noProof/>
              </w:rPr>
              <w:t>64</w:t>
            </w:r>
            <w:r w:rsidR="00D83ADD">
              <w:rPr>
                <w:noProof/>
              </w:rPr>
              <w:fldChar w:fldCharType="end"/>
            </w:r>
          </w:hyperlink>
        </w:p>
        <w:p w14:paraId="48E8ED38" w14:textId="1F9C4E71" w:rsidR="00D83ADD" w:rsidRDefault="00E77CAF">
          <w:pPr>
            <w:pStyle w:val="TOC3"/>
            <w:rPr>
              <w:rFonts w:asciiTheme="minorHAnsi" w:eastAsiaTheme="minorEastAsia" w:hAnsiTheme="minorHAnsi" w:cstheme="minorBidi"/>
              <w:noProof/>
              <w:color w:val="auto"/>
              <w:kern w:val="2"/>
              <w:sz w:val="24"/>
              <w:szCs w:val="24"/>
              <w:lang w:val="en-GB" w:eastAsia="en-GB"/>
              <w14:ligatures w14:val="standardContextual"/>
            </w:rPr>
          </w:pPr>
          <w:hyperlink w:anchor="_Toc243908026" w:history="1">
            <w:r w:rsidR="00D83ADD" w:rsidRPr="009D0911">
              <w:rPr>
                <w:rStyle w:val="Hyperlink"/>
                <w:rFonts w:ascii="Times New Roman" w:hAnsi="Times New Roman" w:cs="Times New Roman"/>
                <w:noProof/>
                <w:lang w:val="mk-MK"/>
              </w:rPr>
              <w:t>8.1 Визија</w:t>
            </w:r>
            <w:r w:rsidR="00D83ADD">
              <w:rPr>
                <w:noProof/>
              </w:rPr>
              <w:tab/>
            </w:r>
            <w:r w:rsidR="00D83ADD">
              <w:rPr>
                <w:noProof/>
              </w:rPr>
              <w:fldChar w:fldCharType="begin"/>
            </w:r>
            <w:r w:rsidR="00D83ADD">
              <w:rPr>
                <w:noProof/>
              </w:rPr>
              <w:instrText xml:space="preserve"> PAGEREF _Toc243908026 \h </w:instrText>
            </w:r>
            <w:r w:rsidR="00D83ADD">
              <w:rPr>
                <w:noProof/>
              </w:rPr>
            </w:r>
            <w:r w:rsidR="00D83ADD">
              <w:rPr>
                <w:noProof/>
              </w:rPr>
              <w:fldChar w:fldCharType="separate"/>
            </w:r>
            <w:r w:rsidR="00D83ADD">
              <w:rPr>
                <w:noProof/>
              </w:rPr>
              <w:t>64</w:t>
            </w:r>
            <w:r w:rsidR="00D83ADD">
              <w:rPr>
                <w:noProof/>
              </w:rPr>
              <w:fldChar w:fldCharType="end"/>
            </w:r>
          </w:hyperlink>
        </w:p>
        <w:p w14:paraId="2AE162CC" w14:textId="4417E687" w:rsidR="00D83ADD" w:rsidRDefault="00E77CAF">
          <w:pPr>
            <w:pStyle w:val="TOC3"/>
            <w:rPr>
              <w:rFonts w:asciiTheme="minorHAnsi" w:eastAsiaTheme="minorEastAsia" w:hAnsiTheme="minorHAnsi" w:cstheme="minorBidi"/>
              <w:noProof/>
              <w:color w:val="auto"/>
              <w:kern w:val="2"/>
              <w:sz w:val="24"/>
              <w:szCs w:val="24"/>
              <w:lang w:val="en-GB" w:eastAsia="en-GB"/>
              <w14:ligatures w14:val="standardContextual"/>
            </w:rPr>
          </w:pPr>
          <w:hyperlink w:anchor="_Toc243908027" w:history="1">
            <w:r w:rsidR="00D83ADD" w:rsidRPr="009D0911">
              <w:rPr>
                <w:rStyle w:val="Hyperlink"/>
                <w:rFonts w:ascii="Times New Roman" w:hAnsi="Times New Roman" w:cs="Times New Roman"/>
                <w:noProof/>
                <w:lang w:val="mk-MK"/>
              </w:rPr>
              <w:t>8.2 Мисија</w:t>
            </w:r>
            <w:r w:rsidR="00D83ADD">
              <w:rPr>
                <w:noProof/>
              </w:rPr>
              <w:tab/>
            </w:r>
            <w:r w:rsidR="00D83ADD">
              <w:rPr>
                <w:noProof/>
              </w:rPr>
              <w:fldChar w:fldCharType="begin"/>
            </w:r>
            <w:r w:rsidR="00D83ADD">
              <w:rPr>
                <w:noProof/>
              </w:rPr>
              <w:instrText xml:space="preserve"> PAGEREF _Toc243908027 \h </w:instrText>
            </w:r>
            <w:r w:rsidR="00D83ADD">
              <w:rPr>
                <w:noProof/>
              </w:rPr>
            </w:r>
            <w:r w:rsidR="00D83ADD">
              <w:rPr>
                <w:noProof/>
              </w:rPr>
              <w:fldChar w:fldCharType="separate"/>
            </w:r>
            <w:r w:rsidR="00D83ADD">
              <w:rPr>
                <w:noProof/>
              </w:rPr>
              <w:t>64</w:t>
            </w:r>
            <w:r w:rsidR="00D83ADD">
              <w:rPr>
                <w:noProof/>
              </w:rPr>
              <w:fldChar w:fldCharType="end"/>
            </w:r>
          </w:hyperlink>
        </w:p>
        <w:p w14:paraId="239803B4" w14:textId="11D12B67" w:rsidR="00D83ADD" w:rsidRDefault="00E77CAF">
          <w:pPr>
            <w:pStyle w:val="TOC3"/>
            <w:rPr>
              <w:rFonts w:asciiTheme="minorHAnsi" w:eastAsiaTheme="minorEastAsia" w:hAnsiTheme="minorHAnsi" w:cstheme="minorBidi"/>
              <w:noProof/>
              <w:color w:val="auto"/>
              <w:kern w:val="2"/>
              <w:sz w:val="24"/>
              <w:szCs w:val="24"/>
              <w:lang w:val="en-GB" w:eastAsia="en-GB"/>
              <w14:ligatures w14:val="standardContextual"/>
            </w:rPr>
          </w:pPr>
          <w:hyperlink w:anchor="_Toc243908028" w:history="1">
            <w:r w:rsidR="00D83ADD" w:rsidRPr="009D0911">
              <w:rPr>
                <w:rStyle w:val="Hyperlink"/>
                <w:rFonts w:ascii="Times New Roman" w:hAnsi="Times New Roman" w:cs="Times New Roman"/>
                <w:noProof/>
                <w:lang w:val="mk-MK"/>
              </w:rPr>
              <w:t>8.3 Стратешки цели (СЦ-1 до СЦ-6)</w:t>
            </w:r>
            <w:r w:rsidR="00D83ADD">
              <w:rPr>
                <w:noProof/>
              </w:rPr>
              <w:tab/>
            </w:r>
            <w:r w:rsidR="00D83ADD">
              <w:rPr>
                <w:noProof/>
              </w:rPr>
              <w:fldChar w:fldCharType="begin"/>
            </w:r>
            <w:r w:rsidR="00D83ADD">
              <w:rPr>
                <w:noProof/>
              </w:rPr>
              <w:instrText xml:space="preserve"> PAGEREF _Toc243908028 \h </w:instrText>
            </w:r>
            <w:r w:rsidR="00D83ADD">
              <w:rPr>
                <w:noProof/>
              </w:rPr>
            </w:r>
            <w:r w:rsidR="00D83ADD">
              <w:rPr>
                <w:noProof/>
              </w:rPr>
              <w:fldChar w:fldCharType="separate"/>
            </w:r>
            <w:r w:rsidR="00D83ADD">
              <w:rPr>
                <w:noProof/>
              </w:rPr>
              <w:t>64</w:t>
            </w:r>
            <w:r w:rsidR="00D83ADD">
              <w:rPr>
                <w:noProof/>
              </w:rPr>
              <w:fldChar w:fldCharType="end"/>
            </w:r>
          </w:hyperlink>
        </w:p>
        <w:p w14:paraId="19D2D0D5" w14:textId="1FF4854C" w:rsidR="00D83ADD" w:rsidRDefault="00E77CAF">
          <w:pPr>
            <w:pStyle w:val="TOC2"/>
            <w:rPr>
              <w:rFonts w:asciiTheme="minorHAnsi" w:eastAsiaTheme="minorEastAsia" w:hAnsiTheme="minorHAnsi" w:cstheme="minorBidi"/>
              <w:noProof/>
              <w:color w:val="auto"/>
              <w:kern w:val="2"/>
              <w:sz w:val="24"/>
              <w:szCs w:val="24"/>
              <w:lang w:val="en-GB" w:eastAsia="en-GB"/>
              <w14:ligatures w14:val="standardContextual"/>
            </w:rPr>
          </w:pPr>
          <w:hyperlink w:anchor="_Toc243908029" w:history="1">
            <w:r w:rsidR="00D83ADD" w:rsidRPr="009D0911">
              <w:rPr>
                <w:rStyle w:val="Hyperlink"/>
                <w:rFonts w:ascii="Times New Roman" w:hAnsi="Times New Roman" w:cs="Times New Roman"/>
                <w:noProof/>
                <w:lang w:val="mk-MK"/>
              </w:rPr>
              <w:t>8</w:t>
            </w:r>
            <w:r w:rsidR="00D83ADD" w:rsidRPr="009D0911">
              <w:rPr>
                <w:rStyle w:val="Hyperlink"/>
                <w:rFonts w:ascii="Times New Roman" w:hAnsi="Times New Roman" w:cs="Times New Roman"/>
                <w:noProof/>
              </w:rPr>
              <w:t>.4 Хоризонтални теми</w:t>
            </w:r>
            <w:r w:rsidR="00D83ADD">
              <w:rPr>
                <w:noProof/>
              </w:rPr>
              <w:tab/>
            </w:r>
            <w:r w:rsidR="00D83ADD">
              <w:rPr>
                <w:noProof/>
              </w:rPr>
              <w:fldChar w:fldCharType="begin"/>
            </w:r>
            <w:r w:rsidR="00D83ADD">
              <w:rPr>
                <w:noProof/>
              </w:rPr>
              <w:instrText xml:space="preserve"> PAGEREF _Toc243908029 \h </w:instrText>
            </w:r>
            <w:r w:rsidR="00D83ADD">
              <w:rPr>
                <w:noProof/>
              </w:rPr>
            </w:r>
            <w:r w:rsidR="00D83ADD">
              <w:rPr>
                <w:noProof/>
              </w:rPr>
              <w:fldChar w:fldCharType="separate"/>
            </w:r>
            <w:r w:rsidR="00D83ADD">
              <w:rPr>
                <w:noProof/>
              </w:rPr>
              <w:t>66</w:t>
            </w:r>
            <w:r w:rsidR="00D83ADD">
              <w:rPr>
                <w:noProof/>
              </w:rPr>
              <w:fldChar w:fldCharType="end"/>
            </w:r>
          </w:hyperlink>
        </w:p>
        <w:p w14:paraId="47A236F2" w14:textId="6147C48E" w:rsidR="00D83ADD" w:rsidRDefault="00E77CAF">
          <w:pPr>
            <w:pStyle w:val="TOC3"/>
            <w:rPr>
              <w:rFonts w:asciiTheme="minorHAnsi" w:eastAsiaTheme="minorEastAsia" w:hAnsiTheme="minorHAnsi" w:cstheme="minorBidi"/>
              <w:noProof/>
              <w:color w:val="auto"/>
              <w:kern w:val="2"/>
              <w:sz w:val="24"/>
              <w:szCs w:val="24"/>
              <w:lang w:val="en-GB" w:eastAsia="en-GB"/>
              <w14:ligatures w14:val="standardContextual"/>
            </w:rPr>
          </w:pPr>
          <w:hyperlink w:anchor="_Toc243908030" w:history="1">
            <w:r w:rsidR="00D83ADD" w:rsidRPr="009D0911">
              <w:rPr>
                <w:rStyle w:val="Hyperlink"/>
                <w:rFonts w:ascii="Times New Roman" w:hAnsi="Times New Roman" w:cs="Times New Roman"/>
                <w:noProof/>
              </w:rPr>
              <w:t>Доверлива и човек-центрирана ВИ</w:t>
            </w:r>
            <w:r w:rsidR="00D83ADD">
              <w:rPr>
                <w:noProof/>
              </w:rPr>
              <w:tab/>
            </w:r>
            <w:r w:rsidR="00D83ADD">
              <w:rPr>
                <w:noProof/>
              </w:rPr>
              <w:fldChar w:fldCharType="begin"/>
            </w:r>
            <w:r w:rsidR="00D83ADD">
              <w:rPr>
                <w:noProof/>
              </w:rPr>
              <w:instrText xml:space="preserve"> PAGEREF _Toc243908030 \h </w:instrText>
            </w:r>
            <w:r w:rsidR="00D83ADD">
              <w:rPr>
                <w:noProof/>
              </w:rPr>
            </w:r>
            <w:r w:rsidR="00D83ADD">
              <w:rPr>
                <w:noProof/>
              </w:rPr>
              <w:fldChar w:fldCharType="separate"/>
            </w:r>
            <w:r w:rsidR="00D83ADD">
              <w:rPr>
                <w:noProof/>
              </w:rPr>
              <w:t>67</w:t>
            </w:r>
            <w:r w:rsidR="00D83ADD">
              <w:rPr>
                <w:noProof/>
              </w:rPr>
              <w:fldChar w:fldCharType="end"/>
            </w:r>
          </w:hyperlink>
        </w:p>
        <w:p w14:paraId="3522CB44" w14:textId="2344BEF1" w:rsidR="00D83ADD" w:rsidRDefault="00E77CAF">
          <w:pPr>
            <w:pStyle w:val="TOC3"/>
            <w:rPr>
              <w:rFonts w:asciiTheme="minorHAnsi" w:eastAsiaTheme="minorEastAsia" w:hAnsiTheme="minorHAnsi" w:cstheme="minorBidi"/>
              <w:noProof/>
              <w:color w:val="auto"/>
              <w:kern w:val="2"/>
              <w:sz w:val="24"/>
              <w:szCs w:val="24"/>
              <w:lang w:val="en-GB" w:eastAsia="en-GB"/>
              <w14:ligatures w14:val="standardContextual"/>
            </w:rPr>
          </w:pPr>
          <w:hyperlink w:anchor="_Toc243908031" w:history="1">
            <w:r w:rsidR="00D83ADD" w:rsidRPr="009D0911">
              <w:rPr>
                <w:rStyle w:val="Hyperlink"/>
                <w:rFonts w:ascii="Times New Roman" w:hAnsi="Times New Roman" w:cs="Times New Roman"/>
                <w:noProof/>
              </w:rPr>
              <w:t>Еднаквост и недискриминација</w:t>
            </w:r>
            <w:r w:rsidR="00D83ADD">
              <w:rPr>
                <w:noProof/>
              </w:rPr>
              <w:tab/>
            </w:r>
            <w:r w:rsidR="00D83ADD">
              <w:rPr>
                <w:noProof/>
              </w:rPr>
              <w:fldChar w:fldCharType="begin"/>
            </w:r>
            <w:r w:rsidR="00D83ADD">
              <w:rPr>
                <w:noProof/>
              </w:rPr>
              <w:instrText xml:space="preserve"> PAGEREF _Toc243908031 \h </w:instrText>
            </w:r>
            <w:r w:rsidR="00D83ADD">
              <w:rPr>
                <w:noProof/>
              </w:rPr>
            </w:r>
            <w:r w:rsidR="00D83ADD">
              <w:rPr>
                <w:noProof/>
              </w:rPr>
              <w:fldChar w:fldCharType="separate"/>
            </w:r>
            <w:r w:rsidR="00D83ADD">
              <w:rPr>
                <w:noProof/>
              </w:rPr>
              <w:t>67</w:t>
            </w:r>
            <w:r w:rsidR="00D83ADD">
              <w:rPr>
                <w:noProof/>
              </w:rPr>
              <w:fldChar w:fldCharType="end"/>
            </w:r>
          </w:hyperlink>
        </w:p>
        <w:p w14:paraId="12DCB205" w14:textId="73365DDA" w:rsidR="00D83ADD" w:rsidRDefault="00E77CAF">
          <w:pPr>
            <w:pStyle w:val="TOC3"/>
            <w:rPr>
              <w:rFonts w:asciiTheme="minorHAnsi" w:eastAsiaTheme="minorEastAsia" w:hAnsiTheme="minorHAnsi" w:cstheme="minorBidi"/>
              <w:noProof/>
              <w:color w:val="auto"/>
              <w:kern w:val="2"/>
              <w:sz w:val="24"/>
              <w:szCs w:val="24"/>
              <w:lang w:val="en-GB" w:eastAsia="en-GB"/>
              <w14:ligatures w14:val="standardContextual"/>
            </w:rPr>
          </w:pPr>
          <w:hyperlink w:anchor="_Toc243908032" w:history="1">
            <w:r w:rsidR="00D83ADD" w:rsidRPr="009D0911">
              <w:rPr>
                <w:rStyle w:val="Hyperlink"/>
                <w:rFonts w:ascii="Times New Roman" w:hAnsi="Times New Roman" w:cs="Times New Roman"/>
                <w:noProof/>
              </w:rPr>
              <w:t>Сајбер-безбедност и отпорност</w:t>
            </w:r>
            <w:r w:rsidR="00D83ADD">
              <w:rPr>
                <w:noProof/>
              </w:rPr>
              <w:tab/>
            </w:r>
            <w:r w:rsidR="00D83ADD">
              <w:rPr>
                <w:noProof/>
              </w:rPr>
              <w:fldChar w:fldCharType="begin"/>
            </w:r>
            <w:r w:rsidR="00D83ADD">
              <w:rPr>
                <w:noProof/>
              </w:rPr>
              <w:instrText xml:space="preserve"> PAGEREF _Toc243908032 \h </w:instrText>
            </w:r>
            <w:r w:rsidR="00D83ADD">
              <w:rPr>
                <w:noProof/>
              </w:rPr>
            </w:r>
            <w:r w:rsidR="00D83ADD">
              <w:rPr>
                <w:noProof/>
              </w:rPr>
              <w:fldChar w:fldCharType="separate"/>
            </w:r>
            <w:r w:rsidR="00D83ADD">
              <w:rPr>
                <w:noProof/>
              </w:rPr>
              <w:t>67</w:t>
            </w:r>
            <w:r w:rsidR="00D83ADD">
              <w:rPr>
                <w:noProof/>
              </w:rPr>
              <w:fldChar w:fldCharType="end"/>
            </w:r>
          </w:hyperlink>
        </w:p>
        <w:p w14:paraId="37A613C7" w14:textId="3B98B3CF" w:rsidR="00D83ADD" w:rsidRDefault="00E77CAF">
          <w:pPr>
            <w:pStyle w:val="TOC3"/>
            <w:rPr>
              <w:rFonts w:asciiTheme="minorHAnsi" w:eastAsiaTheme="minorEastAsia" w:hAnsiTheme="minorHAnsi" w:cstheme="minorBidi"/>
              <w:noProof/>
              <w:color w:val="auto"/>
              <w:kern w:val="2"/>
              <w:sz w:val="24"/>
              <w:szCs w:val="24"/>
              <w:lang w:val="en-GB" w:eastAsia="en-GB"/>
              <w14:ligatures w14:val="standardContextual"/>
            </w:rPr>
          </w:pPr>
          <w:hyperlink w:anchor="_Toc243908033" w:history="1">
            <w:r w:rsidR="00D83ADD" w:rsidRPr="009D0911">
              <w:rPr>
                <w:rStyle w:val="Hyperlink"/>
                <w:rFonts w:ascii="Times New Roman" w:hAnsi="Times New Roman" w:cs="Times New Roman"/>
                <w:noProof/>
              </w:rPr>
              <w:t>Отворени податоци и интероперабилност</w:t>
            </w:r>
            <w:r w:rsidR="00D83ADD">
              <w:rPr>
                <w:noProof/>
              </w:rPr>
              <w:tab/>
            </w:r>
            <w:r w:rsidR="00D83ADD">
              <w:rPr>
                <w:noProof/>
              </w:rPr>
              <w:fldChar w:fldCharType="begin"/>
            </w:r>
            <w:r w:rsidR="00D83ADD">
              <w:rPr>
                <w:noProof/>
              </w:rPr>
              <w:instrText xml:space="preserve"> PAGEREF _Toc243908033 \h </w:instrText>
            </w:r>
            <w:r w:rsidR="00D83ADD">
              <w:rPr>
                <w:noProof/>
              </w:rPr>
            </w:r>
            <w:r w:rsidR="00D83ADD">
              <w:rPr>
                <w:noProof/>
              </w:rPr>
              <w:fldChar w:fldCharType="separate"/>
            </w:r>
            <w:r w:rsidR="00D83ADD">
              <w:rPr>
                <w:noProof/>
              </w:rPr>
              <w:t>67</w:t>
            </w:r>
            <w:r w:rsidR="00D83ADD">
              <w:rPr>
                <w:noProof/>
              </w:rPr>
              <w:fldChar w:fldCharType="end"/>
            </w:r>
          </w:hyperlink>
        </w:p>
        <w:p w14:paraId="79518857" w14:textId="0E41208B" w:rsidR="00D83ADD" w:rsidRDefault="00E77CAF">
          <w:pPr>
            <w:pStyle w:val="TOC3"/>
            <w:rPr>
              <w:rFonts w:asciiTheme="minorHAnsi" w:eastAsiaTheme="minorEastAsia" w:hAnsiTheme="minorHAnsi" w:cstheme="minorBidi"/>
              <w:noProof/>
              <w:color w:val="auto"/>
              <w:kern w:val="2"/>
              <w:sz w:val="24"/>
              <w:szCs w:val="24"/>
              <w:lang w:val="en-GB" w:eastAsia="en-GB"/>
              <w14:ligatures w14:val="standardContextual"/>
            </w:rPr>
          </w:pPr>
          <w:hyperlink w:anchor="_Toc243908034" w:history="1">
            <w:r w:rsidR="00D83ADD" w:rsidRPr="009D0911">
              <w:rPr>
                <w:rStyle w:val="Hyperlink"/>
                <w:rFonts w:ascii="Times New Roman" w:hAnsi="Times New Roman" w:cs="Times New Roman"/>
                <w:noProof/>
              </w:rPr>
              <w:t>Зелени ИКТ и одржливост</w:t>
            </w:r>
            <w:r w:rsidR="00D83ADD">
              <w:rPr>
                <w:noProof/>
              </w:rPr>
              <w:tab/>
            </w:r>
            <w:r w:rsidR="00D83ADD">
              <w:rPr>
                <w:noProof/>
              </w:rPr>
              <w:fldChar w:fldCharType="begin"/>
            </w:r>
            <w:r w:rsidR="00D83ADD">
              <w:rPr>
                <w:noProof/>
              </w:rPr>
              <w:instrText xml:space="preserve"> PAGEREF _Toc243908034 \h </w:instrText>
            </w:r>
            <w:r w:rsidR="00D83ADD">
              <w:rPr>
                <w:noProof/>
              </w:rPr>
            </w:r>
            <w:r w:rsidR="00D83ADD">
              <w:rPr>
                <w:noProof/>
              </w:rPr>
              <w:fldChar w:fldCharType="separate"/>
            </w:r>
            <w:r w:rsidR="00D83ADD">
              <w:rPr>
                <w:noProof/>
              </w:rPr>
              <w:t>68</w:t>
            </w:r>
            <w:r w:rsidR="00D83ADD">
              <w:rPr>
                <w:noProof/>
              </w:rPr>
              <w:fldChar w:fldCharType="end"/>
            </w:r>
          </w:hyperlink>
        </w:p>
        <w:p w14:paraId="47E863A5" w14:textId="199BE58F" w:rsidR="00D83ADD" w:rsidRDefault="00E77CAF">
          <w:pPr>
            <w:pStyle w:val="TOC2"/>
            <w:rPr>
              <w:rFonts w:asciiTheme="minorHAnsi" w:eastAsiaTheme="minorEastAsia" w:hAnsiTheme="minorHAnsi" w:cstheme="minorBidi"/>
              <w:noProof/>
              <w:color w:val="auto"/>
              <w:kern w:val="2"/>
              <w:sz w:val="24"/>
              <w:szCs w:val="24"/>
              <w:lang w:val="en-GB" w:eastAsia="en-GB"/>
              <w14:ligatures w14:val="standardContextual"/>
            </w:rPr>
          </w:pPr>
          <w:hyperlink w:anchor="_Toc243908035" w:history="1">
            <w:r w:rsidR="00D83ADD" w:rsidRPr="009D0911">
              <w:rPr>
                <w:rStyle w:val="Hyperlink"/>
                <w:rFonts w:ascii="Times New Roman" w:hAnsi="Times New Roman" w:cs="Times New Roman"/>
                <w:noProof/>
                <w:lang w:val="mk-MK"/>
              </w:rPr>
              <w:t>8</w:t>
            </w:r>
            <w:r w:rsidR="00D83ADD" w:rsidRPr="009D0911">
              <w:rPr>
                <w:rStyle w:val="Hyperlink"/>
                <w:rFonts w:ascii="Times New Roman" w:hAnsi="Times New Roman" w:cs="Times New Roman"/>
                <w:noProof/>
              </w:rPr>
              <w:t>.5 Приоритетн</w:t>
            </w:r>
            <w:r w:rsidR="00D83ADD" w:rsidRPr="009D0911">
              <w:rPr>
                <w:rStyle w:val="Hyperlink"/>
                <w:rFonts w:ascii="Times New Roman" w:hAnsi="Times New Roman" w:cs="Times New Roman"/>
                <w:noProof/>
                <w:lang w:val="mk-MK"/>
              </w:rPr>
              <w:t>и</w:t>
            </w:r>
            <w:r w:rsidR="00D83ADD" w:rsidRPr="009D0911">
              <w:rPr>
                <w:rStyle w:val="Hyperlink"/>
                <w:rFonts w:ascii="Times New Roman" w:hAnsi="Times New Roman" w:cs="Times New Roman"/>
                <w:noProof/>
              </w:rPr>
              <w:t xml:space="preserve"> област</w:t>
            </w:r>
            <w:r w:rsidR="00D83ADD" w:rsidRPr="009D0911">
              <w:rPr>
                <w:rStyle w:val="Hyperlink"/>
                <w:rFonts w:ascii="Times New Roman" w:hAnsi="Times New Roman" w:cs="Times New Roman"/>
                <w:noProof/>
                <w:lang w:val="mk-MK"/>
              </w:rPr>
              <w:t>и</w:t>
            </w:r>
            <w:r w:rsidR="00D83ADD" w:rsidRPr="009D0911">
              <w:rPr>
                <w:rStyle w:val="Hyperlink"/>
                <w:rFonts w:ascii="Times New Roman" w:hAnsi="Times New Roman" w:cs="Times New Roman"/>
                <w:noProof/>
              </w:rPr>
              <w:t xml:space="preserve"> — Преглед</w:t>
            </w:r>
            <w:r w:rsidR="00D83ADD">
              <w:rPr>
                <w:noProof/>
              </w:rPr>
              <w:tab/>
            </w:r>
            <w:r w:rsidR="00D83ADD">
              <w:rPr>
                <w:noProof/>
              </w:rPr>
              <w:fldChar w:fldCharType="begin"/>
            </w:r>
            <w:r w:rsidR="00D83ADD">
              <w:rPr>
                <w:noProof/>
              </w:rPr>
              <w:instrText xml:space="preserve"> PAGEREF _Toc243908035 \h </w:instrText>
            </w:r>
            <w:r w:rsidR="00D83ADD">
              <w:rPr>
                <w:noProof/>
              </w:rPr>
            </w:r>
            <w:r w:rsidR="00D83ADD">
              <w:rPr>
                <w:noProof/>
              </w:rPr>
              <w:fldChar w:fldCharType="separate"/>
            </w:r>
            <w:r w:rsidR="00D83ADD">
              <w:rPr>
                <w:noProof/>
              </w:rPr>
              <w:t>68</w:t>
            </w:r>
            <w:r w:rsidR="00D83ADD">
              <w:rPr>
                <w:noProof/>
              </w:rPr>
              <w:fldChar w:fldCharType="end"/>
            </w:r>
          </w:hyperlink>
        </w:p>
        <w:p w14:paraId="39439C77" w14:textId="168D6983" w:rsidR="00D83ADD" w:rsidRDefault="00E77CAF">
          <w:pPr>
            <w:pStyle w:val="TOC3"/>
            <w:rPr>
              <w:rFonts w:asciiTheme="minorHAnsi" w:eastAsiaTheme="minorEastAsia" w:hAnsiTheme="minorHAnsi" w:cstheme="minorBidi"/>
              <w:noProof/>
              <w:color w:val="auto"/>
              <w:kern w:val="2"/>
              <w:sz w:val="24"/>
              <w:szCs w:val="24"/>
              <w:lang w:val="en-GB" w:eastAsia="en-GB"/>
              <w14:ligatures w14:val="standardContextual"/>
            </w:rPr>
          </w:pPr>
          <w:hyperlink w:anchor="_Toc243908036" w:history="1">
            <w:r w:rsidR="00D83ADD" w:rsidRPr="009D0911">
              <w:rPr>
                <w:rStyle w:val="Hyperlink"/>
                <w:rFonts w:ascii="Times New Roman" w:hAnsi="Times New Roman" w:cs="Times New Roman"/>
                <w:noProof/>
                <w:lang w:val="mk-MK"/>
              </w:rPr>
              <w:t>8.6 Приоритетни области за Стратегијата за употреба на ВИ</w:t>
            </w:r>
            <w:r w:rsidR="00D83ADD">
              <w:rPr>
                <w:noProof/>
              </w:rPr>
              <w:tab/>
            </w:r>
            <w:r w:rsidR="00D83ADD">
              <w:rPr>
                <w:noProof/>
              </w:rPr>
              <w:fldChar w:fldCharType="begin"/>
            </w:r>
            <w:r w:rsidR="00D83ADD">
              <w:rPr>
                <w:noProof/>
              </w:rPr>
              <w:instrText xml:space="preserve"> PAGEREF _Toc243908036 \h </w:instrText>
            </w:r>
            <w:r w:rsidR="00D83ADD">
              <w:rPr>
                <w:noProof/>
              </w:rPr>
            </w:r>
            <w:r w:rsidR="00D83ADD">
              <w:rPr>
                <w:noProof/>
              </w:rPr>
              <w:fldChar w:fldCharType="separate"/>
            </w:r>
            <w:r w:rsidR="00D83ADD">
              <w:rPr>
                <w:noProof/>
              </w:rPr>
              <w:t>68</w:t>
            </w:r>
            <w:r w:rsidR="00D83ADD">
              <w:rPr>
                <w:noProof/>
              </w:rPr>
              <w:fldChar w:fldCharType="end"/>
            </w:r>
          </w:hyperlink>
        </w:p>
        <w:p w14:paraId="71D64DCE" w14:textId="3817CBE5" w:rsidR="00D83ADD" w:rsidRDefault="00E77CAF">
          <w:pPr>
            <w:pStyle w:val="TOC2"/>
            <w:rPr>
              <w:rFonts w:asciiTheme="minorHAnsi" w:eastAsiaTheme="minorEastAsia" w:hAnsiTheme="minorHAnsi" w:cstheme="minorBidi"/>
              <w:noProof/>
              <w:color w:val="auto"/>
              <w:kern w:val="2"/>
              <w:sz w:val="24"/>
              <w:szCs w:val="24"/>
              <w:lang w:val="en-GB" w:eastAsia="en-GB"/>
              <w14:ligatures w14:val="standardContextual"/>
            </w:rPr>
          </w:pPr>
          <w:hyperlink w:anchor="_Toc243908037" w:history="1">
            <w:r w:rsidR="00D83ADD" w:rsidRPr="009D0911">
              <w:rPr>
                <w:rStyle w:val="Hyperlink"/>
                <w:rFonts w:ascii="Times New Roman" w:hAnsi="Times New Roman" w:cs="Times New Roman"/>
                <w:noProof/>
              </w:rPr>
              <w:t>8.7 Опфат и временска рамка</w:t>
            </w:r>
            <w:r w:rsidR="00D83ADD">
              <w:rPr>
                <w:noProof/>
              </w:rPr>
              <w:tab/>
            </w:r>
            <w:r w:rsidR="00D83ADD">
              <w:rPr>
                <w:noProof/>
              </w:rPr>
              <w:fldChar w:fldCharType="begin"/>
            </w:r>
            <w:r w:rsidR="00D83ADD">
              <w:rPr>
                <w:noProof/>
              </w:rPr>
              <w:instrText xml:space="preserve"> PAGEREF _Toc243908037 \h </w:instrText>
            </w:r>
            <w:r w:rsidR="00D83ADD">
              <w:rPr>
                <w:noProof/>
              </w:rPr>
            </w:r>
            <w:r w:rsidR="00D83ADD">
              <w:rPr>
                <w:noProof/>
              </w:rPr>
              <w:fldChar w:fldCharType="separate"/>
            </w:r>
            <w:r w:rsidR="00D83ADD">
              <w:rPr>
                <w:noProof/>
              </w:rPr>
              <w:t>69</w:t>
            </w:r>
            <w:r w:rsidR="00D83ADD">
              <w:rPr>
                <w:noProof/>
              </w:rPr>
              <w:fldChar w:fldCharType="end"/>
            </w:r>
          </w:hyperlink>
        </w:p>
        <w:p w14:paraId="4573CA1A" w14:textId="0CD7FE4E" w:rsidR="00D83ADD" w:rsidRDefault="00E77CAF">
          <w:pPr>
            <w:pStyle w:val="TOC2"/>
            <w:rPr>
              <w:rFonts w:asciiTheme="minorHAnsi" w:eastAsiaTheme="minorEastAsia" w:hAnsiTheme="minorHAnsi" w:cstheme="minorBidi"/>
              <w:noProof/>
              <w:color w:val="auto"/>
              <w:kern w:val="2"/>
              <w:sz w:val="24"/>
              <w:szCs w:val="24"/>
              <w:lang w:val="en-GB" w:eastAsia="en-GB"/>
              <w14:ligatures w14:val="standardContextual"/>
            </w:rPr>
          </w:pPr>
          <w:hyperlink w:anchor="_Toc243908038" w:history="1">
            <w:r w:rsidR="00D83ADD" w:rsidRPr="009D0911">
              <w:rPr>
                <w:rStyle w:val="Hyperlink"/>
                <w:rFonts w:ascii="Times New Roman" w:hAnsi="Times New Roman" w:cs="Times New Roman"/>
                <w:noProof/>
                <w:lang w:val="mk-MK"/>
              </w:rPr>
              <w:t>8</w:t>
            </w:r>
            <w:r w:rsidR="00D83ADD" w:rsidRPr="009D0911">
              <w:rPr>
                <w:rStyle w:val="Hyperlink"/>
                <w:rFonts w:ascii="Times New Roman" w:hAnsi="Times New Roman" w:cs="Times New Roman"/>
                <w:noProof/>
              </w:rPr>
              <w:t>.</w:t>
            </w:r>
            <w:r w:rsidR="00D83ADD" w:rsidRPr="009D0911">
              <w:rPr>
                <w:rStyle w:val="Hyperlink"/>
                <w:rFonts w:ascii="Times New Roman" w:hAnsi="Times New Roman" w:cs="Times New Roman"/>
                <w:noProof/>
                <w:lang w:val="mk-MK"/>
              </w:rPr>
              <w:t>8</w:t>
            </w:r>
            <w:r w:rsidR="00D83ADD" w:rsidRPr="009D0911">
              <w:rPr>
                <w:rStyle w:val="Hyperlink"/>
                <w:rFonts w:ascii="Times New Roman" w:hAnsi="Times New Roman" w:cs="Times New Roman"/>
                <w:noProof/>
              </w:rPr>
              <w:t xml:space="preserve"> Методологија за изработка</w:t>
            </w:r>
            <w:r w:rsidR="00D83ADD">
              <w:rPr>
                <w:noProof/>
              </w:rPr>
              <w:tab/>
            </w:r>
            <w:r w:rsidR="00D83ADD">
              <w:rPr>
                <w:noProof/>
              </w:rPr>
              <w:fldChar w:fldCharType="begin"/>
            </w:r>
            <w:r w:rsidR="00D83ADD">
              <w:rPr>
                <w:noProof/>
              </w:rPr>
              <w:instrText xml:space="preserve"> PAGEREF _Toc243908038 \h </w:instrText>
            </w:r>
            <w:r w:rsidR="00D83ADD">
              <w:rPr>
                <w:noProof/>
              </w:rPr>
            </w:r>
            <w:r w:rsidR="00D83ADD">
              <w:rPr>
                <w:noProof/>
              </w:rPr>
              <w:fldChar w:fldCharType="separate"/>
            </w:r>
            <w:r w:rsidR="00D83ADD">
              <w:rPr>
                <w:noProof/>
              </w:rPr>
              <w:t>69</w:t>
            </w:r>
            <w:r w:rsidR="00D83ADD">
              <w:rPr>
                <w:noProof/>
              </w:rPr>
              <w:fldChar w:fldCharType="end"/>
            </w:r>
          </w:hyperlink>
        </w:p>
        <w:p w14:paraId="061D2170" w14:textId="207D1ABC" w:rsidR="00D83ADD" w:rsidRDefault="00E77CAF">
          <w:pPr>
            <w:pStyle w:val="TOC2"/>
            <w:rPr>
              <w:rFonts w:asciiTheme="minorHAnsi" w:eastAsiaTheme="minorEastAsia" w:hAnsiTheme="minorHAnsi" w:cstheme="minorBidi"/>
              <w:noProof/>
              <w:color w:val="auto"/>
              <w:kern w:val="2"/>
              <w:sz w:val="24"/>
              <w:szCs w:val="24"/>
              <w:lang w:val="en-GB" w:eastAsia="en-GB"/>
              <w14:ligatures w14:val="standardContextual"/>
            </w:rPr>
          </w:pPr>
          <w:hyperlink w:anchor="_Toc243908039" w:history="1">
            <w:r w:rsidR="00D83ADD" w:rsidRPr="009D0911">
              <w:rPr>
                <w:rStyle w:val="Hyperlink"/>
                <w:rFonts w:ascii="Times New Roman" w:eastAsia="Arial" w:hAnsi="Times New Roman" w:cs="Times New Roman"/>
                <w:noProof/>
                <w:lang w:val="mk-MK"/>
              </w:rPr>
              <w:t>8</w:t>
            </w:r>
            <w:r w:rsidR="00D83ADD" w:rsidRPr="009D0911">
              <w:rPr>
                <w:rStyle w:val="Hyperlink"/>
                <w:rFonts w:ascii="Times New Roman" w:eastAsia="Arial" w:hAnsi="Times New Roman" w:cs="Times New Roman"/>
                <w:noProof/>
              </w:rPr>
              <w:t>.</w:t>
            </w:r>
            <w:r w:rsidR="00D83ADD" w:rsidRPr="009D0911">
              <w:rPr>
                <w:rStyle w:val="Hyperlink"/>
                <w:rFonts w:ascii="Times New Roman" w:eastAsia="Arial" w:hAnsi="Times New Roman" w:cs="Times New Roman"/>
                <w:noProof/>
                <w:lang w:val="mk-MK"/>
              </w:rPr>
              <w:t>9</w:t>
            </w:r>
            <w:r w:rsidR="00D83ADD" w:rsidRPr="009D0911">
              <w:rPr>
                <w:rStyle w:val="Hyperlink"/>
                <w:rFonts w:ascii="Times New Roman" w:eastAsia="Arial" w:hAnsi="Times New Roman" w:cs="Times New Roman"/>
                <w:noProof/>
              </w:rPr>
              <w:t xml:space="preserve"> Европски и национален контекст</w:t>
            </w:r>
            <w:r w:rsidR="00D83ADD">
              <w:rPr>
                <w:noProof/>
              </w:rPr>
              <w:tab/>
            </w:r>
            <w:r w:rsidR="00D83ADD">
              <w:rPr>
                <w:noProof/>
              </w:rPr>
              <w:fldChar w:fldCharType="begin"/>
            </w:r>
            <w:r w:rsidR="00D83ADD">
              <w:rPr>
                <w:noProof/>
              </w:rPr>
              <w:instrText xml:space="preserve"> PAGEREF _Toc243908039 \h </w:instrText>
            </w:r>
            <w:r w:rsidR="00D83ADD">
              <w:rPr>
                <w:noProof/>
              </w:rPr>
            </w:r>
            <w:r w:rsidR="00D83ADD">
              <w:rPr>
                <w:noProof/>
              </w:rPr>
              <w:fldChar w:fldCharType="separate"/>
            </w:r>
            <w:r w:rsidR="00D83ADD">
              <w:rPr>
                <w:noProof/>
              </w:rPr>
              <w:t>70</w:t>
            </w:r>
            <w:r w:rsidR="00D83ADD">
              <w:rPr>
                <w:noProof/>
              </w:rPr>
              <w:fldChar w:fldCharType="end"/>
            </w:r>
          </w:hyperlink>
        </w:p>
        <w:p w14:paraId="26987EEF" w14:textId="52E4386C" w:rsidR="00D83ADD" w:rsidRDefault="00E77CAF">
          <w:pPr>
            <w:pStyle w:val="TOC2"/>
            <w:rPr>
              <w:rFonts w:asciiTheme="minorHAnsi" w:eastAsiaTheme="minorEastAsia" w:hAnsiTheme="minorHAnsi" w:cstheme="minorBidi"/>
              <w:noProof/>
              <w:color w:val="auto"/>
              <w:kern w:val="2"/>
              <w:sz w:val="24"/>
              <w:szCs w:val="24"/>
              <w:lang w:val="en-GB" w:eastAsia="en-GB"/>
              <w14:ligatures w14:val="standardContextual"/>
            </w:rPr>
          </w:pPr>
          <w:hyperlink w:anchor="_Toc243908040" w:history="1">
            <w:r w:rsidR="00D83ADD" w:rsidRPr="009D0911">
              <w:rPr>
                <w:rStyle w:val="Hyperlink"/>
                <w:rFonts w:ascii="Times New Roman" w:eastAsia="Arial" w:hAnsi="Times New Roman" w:cs="Times New Roman"/>
                <w:noProof/>
                <w:lang w:val="mk-MK"/>
              </w:rPr>
              <w:t>8</w:t>
            </w:r>
            <w:r w:rsidR="00D83ADD" w:rsidRPr="009D0911">
              <w:rPr>
                <w:rStyle w:val="Hyperlink"/>
                <w:rFonts w:ascii="Times New Roman" w:eastAsia="Arial" w:hAnsi="Times New Roman" w:cs="Times New Roman"/>
                <w:noProof/>
              </w:rPr>
              <w:t>.</w:t>
            </w:r>
            <w:r w:rsidR="00D83ADD" w:rsidRPr="009D0911">
              <w:rPr>
                <w:rStyle w:val="Hyperlink"/>
                <w:rFonts w:ascii="Times New Roman" w:eastAsia="Arial" w:hAnsi="Times New Roman" w:cs="Times New Roman"/>
                <w:noProof/>
                <w:lang w:val="mk-MK"/>
              </w:rPr>
              <w:t>10</w:t>
            </w:r>
            <w:r w:rsidR="00D83ADD" w:rsidRPr="009D0911">
              <w:rPr>
                <w:rStyle w:val="Hyperlink"/>
                <w:rFonts w:ascii="Times New Roman" w:eastAsia="Arial" w:hAnsi="Times New Roman" w:cs="Times New Roman"/>
                <w:noProof/>
              </w:rPr>
              <w:t xml:space="preserve"> Усогласеност со клучни национални и европски документи</w:t>
            </w:r>
            <w:r w:rsidR="00D83ADD">
              <w:rPr>
                <w:noProof/>
              </w:rPr>
              <w:tab/>
            </w:r>
            <w:r w:rsidR="00D83ADD">
              <w:rPr>
                <w:noProof/>
              </w:rPr>
              <w:fldChar w:fldCharType="begin"/>
            </w:r>
            <w:r w:rsidR="00D83ADD">
              <w:rPr>
                <w:noProof/>
              </w:rPr>
              <w:instrText xml:space="preserve"> PAGEREF _Toc243908040 \h </w:instrText>
            </w:r>
            <w:r w:rsidR="00D83ADD">
              <w:rPr>
                <w:noProof/>
              </w:rPr>
            </w:r>
            <w:r w:rsidR="00D83ADD">
              <w:rPr>
                <w:noProof/>
              </w:rPr>
              <w:fldChar w:fldCharType="separate"/>
            </w:r>
            <w:r w:rsidR="00D83ADD">
              <w:rPr>
                <w:noProof/>
              </w:rPr>
              <w:t>70</w:t>
            </w:r>
            <w:r w:rsidR="00D83ADD">
              <w:rPr>
                <w:noProof/>
              </w:rPr>
              <w:fldChar w:fldCharType="end"/>
            </w:r>
          </w:hyperlink>
        </w:p>
        <w:p w14:paraId="434A67F9" w14:textId="2045D2E2" w:rsidR="00D83ADD" w:rsidRDefault="00E77CAF">
          <w:pPr>
            <w:pStyle w:val="TOC2"/>
            <w:rPr>
              <w:rFonts w:asciiTheme="minorHAnsi" w:eastAsiaTheme="minorEastAsia" w:hAnsiTheme="minorHAnsi" w:cstheme="minorBidi"/>
              <w:noProof/>
              <w:color w:val="auto"/>
              <w:kern w:val="2"/>
              <w:sz w:val="24"/>
              <w:szCs w:val="24"/>
              <w:lang w:val="en-GB" w:eastAsia="en-GB"/>
              <w14:ligatures w14:val="standardContextual"/>
            </w:rPr>
          </w:pPr>
          <w:hyperlink w:anchor="_Toc243908041" w:history="1">
            <w:r w:rsidR="00D83ADD" w:rsidRPr="009D0911">
              <w:rPr>
                <w:rStyle w:val="Hyperlink"/>
                <w:rFonts w:ascii="Times New Roman" w:eastAsia="Arial" w:hAnsi="Times New Roman" w:cs="Times New Roman"/>
                <w:noProof/>
                <w:lang w:val="mk-MK"/>
              </w:rPr>
              <w:t>8</w:t>
            </w:r>
            <w:r w:rsidR="00D83ADD" w:rsidRPr="009D0911">
              <w:rPr>
                <w:rStyle w:val="Hyperlink"/>
                <w:rFonts w:ascii="Times New Roman" w:eastAsia="Arial" w:hAnsi="Times New Roman" w:cs="Times New Roman"/>
                <w:noProof/>
              </w:rPr>
              <w:t>.</w:t>
            </w:r>
            <w:r w:rsidR="00D83ADD" w:rsidRPr="009D0911">
              <w:rPr>
                <w:rStyle w:val="Hyperlink"/>
                <w:rFonts w:ascii="Times New Roman" w:eastAsia="Arial" w:hAnsi="Times New Roman" w:cs="Times New Roman"/>
                <w:noProof/>
                <w:lang w:val="mk-MK"/>
              </w:rPr>
              <w:t>11</w:t>
            </w:r>
            <w:r w:rsidR="00D83ADD" w:rsidRPr="009D0911">
              <w:rPr>
                <w:rStyle w:val="Hyperlink"/>
                <w:rFonts w:ascii="Times New Roman" w:eastAsia="Arial" w:hAnsi="Times New Roman" w:cs="Times New Roman"/>
                <w:noProof/>
              </w:rPr>
              <w:t xml:space="preserve"> Приоритетни области: образложение, усогласеност и очекуван ефект</w:t>
            </w:r>
            <w:r w:rsidR="00D83ADD">
              <w:rPr>
                <w:noProof/>
              </w:rPr>
              <w:tab/>
            </w:r>
            <w:r w:rsidR="00D83ADD">
              <w:rPr>
                <w:noProof/>
              </w:rPr>
              <w:fldChar w:fldCharType="begin"/>
            </w:r>
            <w:r w:rsidR="00D83ADD">
              <w:rPr>
                <w:noProof/>
              </w:rPr>
              <w:instrText xml:space="preserve"> PAGEREF _Toc243908041 \h </w:instrText>
            </w:r>
            <w:r w:rsidR="00D83ADD">
              <w:rPr>
                <w:noProof/>
              </w:rPr>
            </w:r>
            <w:r w:rsidR="00D83ADD">
              <w:rPr>
                <w:noProof/>
              </w:rPr>
              <w:fldChar w:fldCharType="separate"/>
            </w:r>
            <w:r w:rsidR="00D83ADD">
              <w:rPr>
                <w:noProof/>
              </w:rPr>
              <w:t>70</w:t>
            </w:r>
            <w:r w:rsidR="00D83ADD">
              <w:rPr>
                <w:noProof/>
              </w:rPr>
              <w:fldChar w:fldCharType="end"/>
            </w:r>
          </w:hyperlink>
        </w:p>
        <w:p w14:paraId="18838A6F" w14:textId="7A0A1969" w:rsidR="00D83ADD" w:rsidRDefault="00E77CAF">
          <w:pPr>
            <w:pStyle w:val="TOC1"/>
            <w:rPr>
              <w:rFonts w:asciiTheme="minorHAnsi" w:eastAsiaTheme="minorEastAsia" w:hAnsiTheme="minorHAnsi" w:cstheme="minorBidi"/>
              <w:noProof/>
              <w:color w:val="auto"/>
              <w:kern w:val="2"/>
              <w:sz w:val="24"/>
              <w:szCs w:val="24"/>
              <w:lang w:val="en-GB" w:eastAsia="en-GB"/>
              <w14:ligatures w14:val="standardContextual"/>
            </w:rPr>
          </w:pPr>
          <w:hyperlink w:anchor="_Toc243908042" w:history="1">
            <w:r w:rsidR="00D83ADD" w:rsidRPr="009D0911">
              <w:rPr>
                <w:rStyle w:val="Hyperlink"/>
                <w:rFonts w:ascii="Times New Roman" w:hAnsi="Times New Roman" w:cs="Times New Roman"/>
                <w:noProof/>
                <w:lang w:val="mk-MK"/>
              </w:rPr>
              <w:t>9</w:t>
            </w:r>
            <w:r w:rsidR="00D83ADD" w:rsidRPr="009D0911">
              <w:rPr>
                <w:rStyle w:val="Hyperlink"/>
                <w:rFonts w:ascii="Times New Roman" w:hAnsi="Times New Roman" w:cs="Times New Roman"/>
                <w:noProof/>
              </w:rPr>
              <w:t xml:space="preserve">. </w:t>
            </w:r>
            <w:r w:rsidR="00D83ADD" w:rsidRPr="009D0911">
              <w:rPr>
                <w:rStyle w:val="Hyperlink"/>
                <w:rFonts w:ascii="Times New Roman" w:hAnsi="Times New Roman" w:cs="Times New Roman"/>
                <w:noProof/>
                <w:lang w:val="mk-MK"/>
              </w:rPr>
              <w:t>СТРАТЕГИЈА ЗА УПОТРЕБА НА ВЕШТАЧКА ИНТЕЛИГЕНЦИЈА (ВИ) 2027-2032</w:t>
            </w:r>
            <w:r w:rsidR="00D83ADD">
              <w:rPr>
                <w:noProof/>
              </w:rPr>
              <w:tab/>
            </w:r>
            <w:r w:rsidR="00D83ADD">
              <w:rPr>
                <w:noProof/>
              </w:rPr>
              <w:fldChar w:fldCharType="begin"/>
            </w:r>
            <w:r w:rsidR="00D83ADD">
              <w:rPr>
                <w:noProof/>
              </w:rPr>
              <w:instrText xml:space="preserve"> PAGEREF _Toc243908042 \h </w:instrText>
            </w:r>
            <w:r w:rsidR="00D83ADD">
              <w:rPr>
                <w:noProof/>
              </w:rPr>
            </w:r>
            <w:r w:rsidR="00D83ADD">
              <w:rPr>
                <w:noProof/>
              </w:rPr>
              <w:fldChar w:fldCharType="separate"/>
            </w:r>
            <w:r w:rsidR="00D83ADD">
              <w:rPr>
                <w:noProof/>
              </w:rPr>
              <w:t>72</w:t>
            </w:r>
            <w:r w:rsidR="00D83ADD">
              <w:rPr>
                <w:noProof/>
              </w:rPr>
              <w:fldChar w:fldCharType="end"/>
            </w:r>
          </w:hyperlink>
        </w:p>
        <w:p w14:paraId="0962890A" w14:textId="258498B4" w:rsidR="00D83ADD" w:rsidRDefault="00E77CAF">
          <w:pPr>
            <w:pStyle w:val="TOC1"/>
            <w:rPr>
              <w:rFonts w:asciiTheme="minorHAnsi" w:eastAsiaTheme="minorEastAsia" w:hAnsiTheme="minorHAnsi" w:cstheme="minorBidi"/>
              <w:noProof/>
              <w:color w:val="auto"/>
              <w:kern w:val="2"/>
              <w:sz w:val="24"/>
              <w:szCs w:val="24"/>
              <w:lang w:val="en-GB" w:eastAsia="en-GB"/>
              <w14:ligatures w14:val="standardContextual"/>
            </w:rPr>
          </w:pPr>
          <w:hyperlink w:anchor="_Toc243908043" w:history="1">
            <w:r w:rsidR="00D83ADD" w:rsidRPr="009D0911">
              <w:rPr>
                <w:rStyle w:val="Hyperlink"/>
                <w:rFonts w:ascii="Times New Roman" w:hAnsi="Times New Roman" w:cs="Times New Roman"/>
                <w:noProof/>
              </w:rPr>
              <w:t>АКЦИСКИ ПЛАН (2027-2029)</w:t>
            </w:r>
            <w:r w:rsidR="00D83ADD">
              <w:rPr>
                <w:noProof/>
              </w:rPr>
              <w:tab/>
            </w:r>
            <w:r w:rsidR="00D83ADD">
              <w:rPr>
                <w:noProof/>
              </w:rPr>
              <w:fldChar w:fldCharType="begin"/>
            </w:r>
            <w:r w:rsidR="00D83ADD">
              <w:rPr>
                <w:noProof/>
              </w:rPr>
              <w:instrText xml:space="preserve"> PAGEREF _Toc243908043 \h </w:instrText>
            </w:r>
            <w:r w:rsidR="00D83ADD">
              <w:rPr>
                <w:noProof/>
              </w:rPr>
            </w:r>
            <w:r w:rsidR="00D83ADD">
              <w:rPr>
                <w:noProof/>
              </w:rPr>
              <w:fldChar w:fldCharType="separate"/>
            </w:r>
            <w:r w:rsidR="00D83ADD">
              <w:rPr>
                <w:noProof/>
              </w:rPr>
              <w:t>72</w:t>
            </w:r>
            <w:r w:rsidR="00D83ADD">
              <w:rPr>
                <w:noProof/>
              </w:rPr>
              <w:fldChar w:fldCharType="end"/>
            </w:r>
          </w:hyperlink>
        </w:p>
        <w:p w14:paraId="242FE767" w14:textId="1E7B5E6D" w:rsidR="00D83ADD" w:rsidRDefault="00E77CAF">
          <w:pPr>
            <w:pStyle w:val="TOC1"/>
            <w:rPr>
              <w:rFonts w:asciiTheme="minorHAnsi" w:eastAsiaTheme="minorEastAsia" w:hAnsiTheme="minorHAnsi" w:cstheme="minorBidi"/>
              <w:noProof/>
              <w:color w:val="auto"/>
              <w:kern w:val="2"/>
              <w:sz w:val="24"/>
              <w:szCs w:val="24"/>
              <w:lang w:val="en-GB" w:eastAsia="en-GB"/>
              <w14:ligatures w14:val="standardContextual"/>
            </w:rPr>
          </w:pPr>
          <w:hyperlink w:anchor="_Toc243908044" w:history="1">
            <w:r w:rsidR="00D83ADD" w:rsidRPr="009D0911">
              <w:rPr>
                <w:rStyle w:val="Hyperlink"/>
                <w:rFonts w:ascii="Times New Roman" w:hAnsi="Times New Roman" w:cs="Times New Roman"/>
                <w:noProof/>
                <w:lang w:val="mk-MK"/>
              </w:rPr>
              <w:t>10</w:t>
            </w:r>
            <w:r w:rsidR="00D83ADD" w:rsidRPr="009D0911">
              <w:rPr>
                <w:rStyle w:val="Hyperlink"/>
                <w:rFonts w:ascii="Times New Roman" w:hAnsi="Times New Roman" w:cs="Times New Roman"/>
                <w:noProof/>
              </w:rPr>
              <w:t>. РАМКА ЗА СЛЕДЕЊЕ, ИЗВЕСТУВАЊЕ И ОЦЕНУВАЊЕ</w:t>
            </w:r>
            <w:r w:rsidR="00D83ADD">
              <w:rPr>
                <w:noProof/>
              </w:rPr>
              <w:tab/>
            </w:r>
            <w:r w:rsidR="00D83ADD">
              <w:rPr>
                <w:noProof/>
              </w:rPr>
              <w:fldChar w:fldCharType="begin"/>
            </w:r>
            <w:r w:rsidR="00D83ADD">
              <w:rPr>
                <w:noProof/>
              </w:rPr>
              <w:instrText xml:space="preserve"> PAGEREF _Toc243908044 \h </w:instrText>
            </w:r>
            <w:r w:rsidR="00D83ADD">
              <w:rPr>
                <w:noProof/>
              </w:rPr>
            </w:r>
            <w:r w:rsidR="00D83ADD">
              <w:rPr>
                <w:noProof/>
              </w:rPr>
              <w:fldChar w:fldCharType="separate"/>
            </w:r>
            <w:r w:rsidR="00D83ADD">
              <w:rPr>
                <w:noProof/>
              </w:rPr>
              <w:t>91</w:t>
            </w:r>
            <w:r w:rsidR="00D83ADD">
              <w:rPr>
                <w:noProof/>
              </w:rPr>
              <w:fldChar w:fldCharType="end"/>
            </w:r>
          </w:hyperlink>
        </w:p>
        <w:p w14:paraId="5CCD18AF" w14:textId="69D5B654" w:rsidR="00D83ADD" w:rsidRDefault="00E77CAF">
          <w:pPr>
            <w:pStyle w:val="TOC2"/>
            <w:rPr>
              <w:rFonts w:asciiTheme="minorHAnsi" w:eastAsiaTheme="minorEastAsia" w:hAnsiTheme="minorHAnsi" w:cstheme="minorBidi"/>
              <w:noProof/>
              <w:color w:val="auto"/>
              <w:kern w:val="2"/>
              <w:sz w:val="24"/>
              <w:szCs w:val="24"/>
              <w:lang w:val="en-GB" w:eastAsia="en-GB"/>
              <w14:ligatures w14:val="standardContextual"/>
            </w:rPr>
          </w:pPr>
          <w:hyperlink w:anchor="_Toc243908045" w:history="1">
            <w:r w:rsidR="00D83ADD" w:rsidRPr="009D0911">
              <w:rPr>
                <w:rStyle w:val="Hyperlink"/>
                <w:rFonts w:ascii="Times New Roman" w:hAnsi="Times New Roman" w:cs="Times New Roman"/>
                <w:noProof/>
                <w:lang w:val="mk-MK"/>
              </w:rPr>
              <w:t>10</w:t>
            </w:r>
            <w:r w:rsidR="00D83ADD" w:rsidRPr="009D0911">
              <w:rPr>
                <w:rStyle w:val="Hyperlink"/>
                <w:rFonts w:ascii="Times New Roman" w:hAnsi="Times New Roman" w:cs="Times New Roman"/>
                <w:noProof/>
              </w:rPr>
              <w:t>.1 Институционална поставеност за мониторинг</w:t>
            </w:r>
            <w:r w:rsidR="00D83ADD">
              <w:rPr>
                <w:noProof/>
              </w:rPr>
              <w:tab/>
            </w:r>
            <w:r w:rsidR="00D83ADD">
              <w:rPr>
                <w:noProof/>
              </w:rPr>
              <w:fldChar w:fldCharType="begin"/>
            </w:r>
            <w:r w:rsidR="00D83ADD">
              <w:rPr>
                <w:noProof/>
              </w:rPr>
              <w:instrText xml:space="preserve"> PAGEREF _Toc243908045 \h </w:instrText>
            </w:r>
            <w:r w:rsidR="00D83ADD">
              <w:rPr>
                <w:noProof/>
              </w:rPr>
            </w:r>
            <w:r w:rsidR="00D83ADD">
              <w:rPr>
                <w:noProof/>
              </w:rPr>
              <w:fldChar w:fldCharType="separate"/>
            </w:r>
            <w:r w:rsidR="00D83ADD">
              <w:rPr>
                <w:noProof/>
              </w:rPr>
              <w:t>91</w:t>
            </w:r>
            <w:r w:rsidR="00D83ADD">
              <w:rPr>
                <w:noProof/>
              </w:rPr>
              <w:fldChar w:fldCharType="end"/>
            </w:r>
          </w:hyperlink>
        </w:p>
        <w:p w14:paraId="4338C93E" w14:textId="69BF4A11" w:rsidR="00D83ADD" w:rsidRDefault="00E77CAF">
          <w:pPr>
            <w:pStyle w:val="TOC2"/>
            <w:rPr>
              <w:rFonts w:asciiTheme="minorHAnsi" w:eastAsiaTheme="minorEastAsia" w:hAnsiTheme="minorHAnsi" w:cstheme="minorBidi"/>
              <w:noProof/>
              <w:color w:val="auto"/>
              <w:kern w:val="2"/>
              <w:sz w:val="24"/>
              <w:szCs w:val="24"/>
              <w:lang w:val="en-GB" w:eastAsia="en-GB"/>
              <w14:ligatures w14:val="standardContextual"/>
            </w:rPr>
          </w:pPr>
          <w:hyperlink w:anchor="_Toc243908046" w:history="1">
            <w:r w:rsidR="00D83ADD" w:rsidRPr="009D0911">
              <w:rPr>
                <w:rStyle w:val="Hyperlink"/>
                <w:rFonts w:ascii="Times New Roman" w:hAnsi="Times New Roman" w:cs="Times New Roman"/>
                <w:noProof/>
                <w:lang w:val="mk-MK"/>
              </w:rPr>
              <w:t>10</w:t>
            </w:r>
            <w:r w:rsidR="00D83ADD" w:rsidRPr="009D0911">
              <w:rPr>
                <w:rStyle w:val="Hyperlink"/>
                <w:rFonts w:ascii="Times New Roman" w:hAnsi="Times New Roman" w:cs="Times New Roman"/>
                <w:noProof/>
              </w:rPr>
              <w:t>.2 Динамика на известување</w:t>
            </w:r>
            <w:r w:rsidR="00D83ADD">
              <w:rPr>
                <w:noProof/>
              </w:rPr>
              <w:tab/>
            </w:r>
            <w:r w:rsidR="00D83ADD">
              <w:rPr>
                <w:noProof/>
              </w:rPr>
              <w:fldChar w:fldCharType="begin"/>
            </w:r>
            <w:r w:rsidR="00D83ADD">
              <w:rPr>
                <w:noProof/>
              </w:rPr>
              <w:instrText xml:space="preserve"> PAGEREF _Toc243908046 \h </w:instrText>
            </w:r>
            <w:r w:rsidR="00D83ADD">
              <w:rPr>
                <w:noProof/>
              </w:rPr>
            </w:r>
            <w:r w:rsidR="00D83ADD">
              <w:rPr>
                <w:noProof/>
              </w:rPr>
              <w:fldChar w:fldCharType="separate"/>
            </w:r>
            <w:r w:rsidR="00D83ADD">
              <w:rPr>
                <w:noProof/>
              </w:rPr>
              <w:t>91</w:t>
            </w:r>
            <w:r w:rsidR="00D83ADD">
              <w:rPr>
                <w:noProof/>
              </w:rPr>
              <w:fldChar w:fldCharType="end"/>
            </w:r>
          </w:hyperlink>
        </w:p>
        <w:p w14:paraId="748D16ED" w14:textId="3134C0C3" w:rsidR="00D83ADD" w:rsidRDefault="00E77CAF">
          <w:pPr>
            <w:pStyle w:val="TOC2"/>
            <w:rPr>
              <w:rFonts w:asciiTheme="minorHAnsi" w:eastAsiaTheme="minorEastAsia" w:hAnsiTheme="minorHAnsi" w:cstheme="minorBidi"/>
              <w:noProof/>
              <w:color w:val="auto"/>
              <w:kern w:val="2"/>
              <w:sz w:val="24"/>
              <w:szCs w:val="24"/>
              <w:lang w:val="en-GB" w:eastAsia="en-GB"/>
              <w14:ligatures w14:val="standardContextual"/>
            </w:rPr>
          </w:pPr>
          <w:hyperlink w:anchor="_Toc243908047" w:history="1">
            <w:r w:rsidR="00D83ADD" w:rsidRPr="009D0911">
              <w:rPr>
                <w:rStyle w:val="Hyperlink"/>
                <w:rFonts w:ascii="Times New Roman" w:hAnsi="Times New Roman" w:cs="Times New Roman"/>
                <w:noProof/>
                <w:lang w:val="mk-MK"/>
              </w:rPr>
              <w:t>10</w:t>
            </w:r>
            <w:r w:rsidR="00D83ADD" w:rsidRPr="009D0911">
              <w:rPr>
                <w:rStyle w:val="Hyperlink"/>
                <w:rFonts w:ascii="Times New Roman" w:hAnsi="Times New Roman" w:cs="Times New Roman"/>
                <w:noProof/>
              </w:rPr>
              <w:t xml:space="preserve">.3 Национален ВИ Барометар – KPI рамка базирана на </w:t>
            </w:r>
            <w:r w:rsidR="00D83ADD" w:rsidRPr="009D0911">
              <w:rPr>
                <w:rStyle w:val="Hyperlink"/>
                <w:rFonts w:ascii="Times New Roman" w:hAnsi="Times New Roman" w:cs="Times New Roman"/>
                <w:i/>
                <w:iCs/>
                <w:noProof/>
              </w:rPr>
              <w:t>Oxford Insights GARI</w:t>
            </w:r>
            <w:r w:rsidR="00D83ADD">
              <w:rPr>
                <w:noProof/>
              </w:rPr>
              <w:tab/>
            </w:r>
            <w:r w:rsidR="00D83ADD">
              <w:rPr>
                <w:noProof/>
              </w:rPr>
              <w:fldChar w:fldCharType="begin"/>
            </w:r>
            <w:r w:rsidR="00D83ADD">
              <w:rPr>
                <w:noProof/>
              </w:rPr>
              <w:instrText xml:space="preserve"> PAGEREF _Toc243908047 \h </w:instrText>
            </w:r>
            <w:r w:rsidR="00D83ADD">
              <w:rPr>
                <w:noProof/>
              </w:rPr>
            </w:r>
            <w:r w:rsidR="00D83ADD">
              <w:rPr>
                <w:noProof/>
              </w:rPr>
              <w:fldChar w:fldCharType="separate"/>
            </w:r>
            <w:r w:rsidR="00D83ADD">
              <w:rPr>
                <w:noProof/>
              </w:rPr>
              <w:t>91</w:t>
            </w:r>
            <w:r w:rsidR="00D83ADD">
              <w:rPr>
                <w:noProof/>
              </w:rPr>
              <w:fldChar w:fldCharType="end"/>
            </w:r>
          </w:hyperlink>
        </w:p>
        <w:p w14:paraId="63B58645" w14:textId="0ABF407A" w:rsidR="00D83ADD" w:rsidRDefault="00E77CAF">
          <w:pPr>
            <w:pStyle w:val="TOC2"/>
            <w:rPr>
              <w:rFonts w:asciiTheme="minorHAnsi" w:eastAsiaTheme="minorEastAsia" w:hAnsiTheme="minorHAnsi" w:cstheme="minorBidi"/>
              <w:noProof/>
              <w:color w:val="auto"/>
              <w:kern w:val="2"/>
              <w:sz w:val="24"/>
              <w:szCs w:val="24"/>
              <w:lang w:val="en-GB" w:eastAsia="en-GB"/>
              <w14:ligatures w14:val="standardContextual"/>
            </w:rPr>
          </w:pPr>
          <w:hyperlink w:anchor="_Toc243908048" w:history="1">
            <w:r w:rsidR="00D83ADD" w:rsidRPr="009D0911">
              <w:rPr>
                <w:rStyle w:val="Hyperlink"/>
                <w:rFonts w:ascii="Times New Roman" w:hAnsi="Times New Roman" w:cs="Times New Roman"/>
                <w:noProof/>
                <w:lang w:val="mk-MK"/>
              </w:rPr>
              <w:t>10</w:t>
            </w:r>
            <w:r w:rsidR="00D83ADD" w:rsidRPr="009D0911">
              <w:rPr>
                <w:rStyle w:val="Hyperlink"/>
                <w:rFonts w:ascii="Times New Roman" w:hAnsi="Times New Roman" w:cs="Times New Roman"/>
                <w:noProof/>
              </w:rPr>
              <w:t>.4 Регионален контекст и бенчмарк</w:t>
            </w:r>
            <w:r w:rsidR="00D83ADD">
              <w:rPr>
                <w:noProof/>
              </w:rPr>
              <w:tab/>
            </w:r>
            <w:r w:rsidR="00D83ADD">
              <w:rPr>
                <w:noProof/>
              </w:rPr>
              <w:fldChar w:fldCharType="begin"/>
            </w:r>
            <w:r w:rsidR="00D83ADD">
              <w:rPr>
                <w:noProof/>
              </w:rPr>
              <w:instrText xml:space="preserve"> PAGEREF _Toc243908048 \h </w:instrText>
            </w:r>
            <w:r w:rsidR="00D83ADD">
              <w:rPr>
                <w:noProof/>
              </w:rPr>
            </w:r>
            <w:r w:rsidR="00D83ADD">
              <w:rPr>
                <w:noProof/>
              </w:rPr>
              <w:fldChar w:fldCharType="separate"/>
            </w:r>
            <w:r w:rsidR="00D83ADD">
              <w:rPr>
                <w:noProof/>
              </w:rPr>
              <w:t>92</w:t>
            </w:r>
            <w:r w:rsidR="00D83ADD">
              <w:rPr>
                <w:noProof/>
              </w:rPr>
              <w:fldChar w:fldCharType="end"/>
            </w:r>
          </w:hyperlink>
        </w:p>
        <w:p w14:paraId="45ECEECA" w14:textId="6EC7AD6B" w:rsidR="00D83ADD" w:rsidRDefault="00E77CAF">
          <w:pPr>
            <w:pStyle w:val="TOC1"/>
            <w:rPr>
              <w:rFonts w:asciiTheme="minorHAnsi" w:eastAsiaTheme="minorEastAsia" w:hAnsiTheme="minorHAnsi" w:cstheme="minorBidi"/>
              <w:noProof/>
              <w:color w:val="auto"/>
              <w:kern w:val="2"/>
              <w:sz w:val="24"/>
              <w:szCs w:val="24"/>
              <w:lang w:val="en-GB" w:eastAsia="en-GB"/>
              <w14:ligatures w14:val="standardContextual"/>
            </w:rPr>
          </w:pPr>
          <w:hyperlink w:anchor="_Toc243908049" w:history="1">
            <w:r w:rsidR="00D83ADD" w:rsidRPr="009D0911">
              <w:rPr>
                <w:rStyle w:val="Hyperlink"/>
                <w:rFonts w:ascii="Times New Roman" w:hAnsi="Times New Roman" w:cs="Times New Roman"/>
                <w:noProof/>
                <w:lang w:val="mk-MK"/>
              </w:rPr>
              <w:t>11</w:t>
            </w:r>
            <w:r w:rsidR="00D83ADD" w:rsidRPr="009D0911">
              <w:rPr>
                <w:rStyle w:val="Hyperlink"/>
                <w:rFonts w:ascii="Times New Roman" w:hAnsi="Times New Roman" w:cs="Times New Roman"/>
                <w:noProof/>
              </w:rPr>
              <w:t>. ИНДИКАТИВЕН ФИНАНСИСКИ ПЛАН</w:t>
            </w:r>
            <w:r w:rsidR="00D83ADD">
              <w:rPr>
                <w:noProof/>
              </w:rPr>
              <w:tab/>
            </w:r>
            <w:r w:rsidR="00D83ADD">
              <w:rPr>
                <w:noProof/>
              </w:rPr>
              <w:fldChar w:fldCharType="begin"/>
            </w:r>
            <w:r w:rsidR="00D83ADD">
              <w:rPr>
                <w:noProof/>
              </w:rPr>
              <w:instrText xml:space="preserve"> PAGEREF _Toc243908049 \h </w:instrText>
            </w:r>
            <w:r w:rsidR="00D83ADD">
              <w:rPr>
                <w:noProof/>
              </w:rPr>
            </w:r>
            <w:r w:rsidR="00D83ADD">
              <w:rPr>
                <w:noProof/>
              </w:rPr>
              <w:fldChar w:fldCharType="separate"/>
            </w:r>
            <w:r w:rsidR="00D83ADD">
              <w:rPr>
                <w:noProof/>
              </w:rPr>
              <w:t>93</w:t>
            </w:r>
            <w:r w:rsidR="00D83ADD">
              <w:rPr>
                <w:noProof/>
              </w:rPr>
              <w:fldChar w:fldCharType="end"/>
            </w:r>
          </w:hyperlink>
        </w:p>
        <w:p w14:paraId="2D91A08A" w14:textId="3D1E3CE4" w:rsidR="00D83ADD" w:rsidRDefault="00E77CAF">
          <w:pPr>
            <w:pStyle w:val="TOC2"/>
            <w:rPr>
              <w:rFonts w:asciiTheme="minorHAnsi" w:eastAsiaTheme="minorEastAsia" w:hAnsiTheme="minorHAnsi" w:cstheme="minorBidi"/>
              <w:noProof/>
              <w:color w:val="auto"/>
              <w:kern w:val="2"/>
              <w:sz w:val="24"/>
              <w:szCs w:val="24"/>
              <w:lang w:val="en-GB" w:eastAsia="en-GB"/>
              <w14:ligatures w14:val="standardContextual"/>
            </w:rPr>
          </w:pPr>
          <w:hyperlink w:anchor="_Toc243908050" w:history="1">
            <w:r w:rsidR="00D83ADD" w:rsidRPr="009D0911">
              <w:rPr>
                <w:rStyle w:val="Hyperlink"/>
                <w:rFonts w:ascii="Times New Roman" w:eastAsia="Arial" w:hAnsi="Times New Roman" w:cs="Times New Roman"/>
                <w:noProof/>
                <w:lang w:val="mk-MK"/>
              </w:rPr>
              <w:t>11</w:t>
            </w:r>
            <w:r w:rsidR="00D83ADD" w:rsidRPr="009D0911">
              <w:rPr>
                <w:rStyle w:val="Hyperlink"/>
                <w:rFonts w:ascii="Times New Roman" w:eastAsia="Arial" w:hAnsi="Times New Roman" w:cs="Times New Roman"/>
                <w:noProof/>
              </w:rPr>
              <w:t>.1 Индикативна распределба на финансиски средства по мерка и извор</w:t>
            </w:r>
            <w:r w:rsidR="00D83ADD">
              <w:rPr>
                <w:noProof/>
              </w:rPr>
              <w:tab/>
            </w:r>
            <w:r w:rsidR="00D83ADD">
              <w:rPr>
                <w:noProof/>
              </w:rPr>
              <w:fldChar w:fldCharType="begin"/>
            </w:r>
            <w:r w:rsidR="00D83ADD">
              <w:rPr>
                <w:noProof/>
              </w:rPr>
              <w:instrText xml:space="preserve"> PAGEREF _Toc243908050 \h </w:instrText>
            </w:r>
            <w:r w:rsidR="00D83ADD">
              <w:rPr>
                <w:noProof/>
              </w:rPr>
            </w:r>
            <w:r w:rsidR="00D83ADD">
              <w:rPr>
                <w:noProof/>
              </w:rPr>
              <w:fldChar w:fldCharType="separate"/>
            </w:r>
            <w:r w:rsidR="00D83ADD">
              <w:rPr>
                <w:noProof/>
              </w:rPr>
              <w:t>95</w:t>
            </w:r>
            <w:r w:rsidR="00D83ADD">
              <w:rPr>
                <w:noProof/>
              </w:rPr>
              <w:fldChar w:fldCharType="end"/>
            </w:r>
          </w:hyperlink>
        </w:p>
        <w:p w14:paraId="46C889DA" w14:textId="074993E7" w:rsidR="00D83ADD" w:rsidRDefault="00E77CAF">
          <w:pPr>
            <w:pStyle w:val="TOC1"/>
            <w:rPr>
              <w:rFonts w:asciiTheme="minorHAnsi" w:eastAsiaTheme="minorEastAsia" w:hAnsiTheme="minorHAnsi" w:cstheme="minorBidi"/>
              <w:noProof/>
              <w:color w:val="auto"/>
              <w:kern w:val="2"/>
              <w:sz w:val="24"/>
              <w:szCs w:val="24"/>
              <w:lang w:val="en-GB" w:eastAsia="en-GB"/>
              <w14:ligatures w14:val="standardContextual"/>
            </w:rPr>
          </w:pPr>
          <w:hyperlink w:anchor="_Toc243908051" w:history="1">
            <w:r w:rsidR="00D83ADD" w:rsidRPr="009D0911">
              <w:rPr>
                <w:rStyle w:val="Hyperlink"/>
                <w:noProof/>
              </w:rPr>
              <w:t>Легенда на институции и кратенки</w:t>
            </w:r>
            <w:r w:rsidR="00D83ADD">
              <w:rPr>
                <w:noProof/>
              </w:rPr>
              <w:tab/>
            </w:r>
            <w:r w:rsidR="00D83ADD">
              <w:rPr>
                <w:noProof/>
              </w:rPr>
              <w:fldChar w:fldCharType="begin"/>
            </w:r>
            <w:r w:rsidR="00D83ADD">
              <w:rPr>
                <w:noProof/>
              </w:rPr>
              <w:instrText xml:space="preserve"> PAGEREF _Toc243908051 \h </w:instrText>
            </w:r>
            <w:r w:rsidR="00D83ADD">
              <w:rPr>
                <w:noProof/>
              </w:rPr>
            </w:r>
            <w:r w:rsidR="00D83ADD">
              <w:rPr>
                <w:noProof/>
              </w:rPr>
              <w:fldChar w:fldCharType="separate"/>
            </w:r>
            <w:r w:rsidR="00D83ADD">
              <w:rPr>
                <w:noProof/>
              </w:rPr>
              <w:t>98</w:t>
            </w:r>
            <w:r w:rsidR="00D83ADD">
              <w:rPr>
                <w:noProof/>
              </w:rPr>
              <w:fldChar w:fldCharType="end"/>
            </w:r>
          </w:hyperlink>
        </w:p>
        <w:p w14:paraId="165D411F" w14:textId="38C60A8E" w:rsidR="00D83ADD" w:rsidRDefault="00E77CAF">
          <w:pPr>
            <w:pStyle w:val="TOC2"/>
            <w:rPr>
              <w:rFonts w:asciiTheme="minorHAnsi" w:eastAsiaTheme="minorEastAsia" w:hAnsiTheme="minorHAnsi" w:cstheme="minorBidi"/>
              <w:noProof/>
              <w:color w:val="auto"/>
              <w:kern w:val="2"/>
              <w:sz w:val="24"/>
              <w:szCs w:val="24"/>
              <w:lang w:val="en-GB" w:eastAsia="en-GB"/>
              <w14:ligatures w14:val="standardContextual"/>
            </w:rPr>
          </w:pPr>
          <w:hyperlink w:anchor="_Toc243908052" w:history="1">
            <w:r w:rsidR="00D83ADD" w:rsidRPr="009D0911">
              <w:rPr>
                <w:rStyle w:val="Hyperlink"/>
                <w:noProof/>
              </w:rPr>
              <w:t>Водечки и придружни институции</w:t>
            </w:r>
            <w:r w:rsidR="00D83ADD">
              <w:rPr>
                <w:noProof/>
              </w:rPr>
              <w:tab/>
            </w:r>
            <w:r w:rsidR="00D83ADD">
              <w:rPr>
                <w:noProof/>
              </w:rPr>
              <w:fldChar w:fldCharType="begin"/>
            </w:r>
            <w:r w:rsidR="00D83ADD">
              <w:rPr>
                <w:noProof/>
              </w:rPr>
              <w:instrText xml:space="preserve"> PAGEREF _Toc243908052 \h </w:instrText>
            </w:r>
            <w:r w:rsidR="00D83ADD">
              <w:rPr>
                <w:noProof/>
              </w:rPr>
            </w:r>
            <w:r w:rsidR="00D83ADD">
              <w:rPr>
                <w:noProof/>
              </w:rPr>
              <w:fldChar w:fldCharType="separate"/>
            </w:r>
            <w:r w:rsidR="00D83ADD">
              <w:rPr>
                <w:noProof/>
              </w:rPr>
              <w:t>98</w:t>
            </w:r>
            <w:r w:rsidR="00D83ADD">
              <w:rPr>
                <w:noProof/>
              </w:rPr>
              <w:fldChar w:fldCharType="end"/>
            </w:r>
          </w:hyperlink>
        </w:p>
        <w:p w14:paraId="1297FC56" w14:textId="43522069" w:rsidR="00D83ADD" w:rsidRDefault="00E77CAF">
          <w:pPr>
            <w:pStyle w:val="TOC2"/>
            <w:rPr>
              <w:rFonts w:asciiTheme="minorHAnsi" w:eastAsiaTheme="minorEastAsia" w:hAnsiTheme="minorHAnsi" w:cstheme="minorBidi"/>
              <w:noProof/>
              <w:color w:val="auto"/>
              <w:kern w:val="2"/>
              <w:sz w:val="24"/>
              <w:szCs w:val="24"/>
              <w:lang w:val="en-GB" w:eastAsia="en-GB"/>
              <w14:ligatures w14:val="standardContextual"/>
            </w:rPr>
          </w:pPr>
          <w:hyperlink w:anchor="_Toc243908053" w:history="1">
            <w:r w:rsidR="00D83ADD" w:rsidRPr="009D0911">
              <w:rPr>
                <w:rStyle w:val="Hyperlink"/>
                <w:noProof/>
              </w:rPr>
              <w:t>Високообразовни и истражувачки институции</w:t>
            </w:r>
            <w:r w:rsidR="00D83ADD">
              <w:rPr>
                <w:noProof/>
              </w:rPr>
              <w:tab/>
            </w:r>
            <w:r w:rsidR="00D83ADD">
              <w:rPr>
                <w:noProof/>
              </w:rPr>
              <w:fldChar w:fldCharType="begin"/>
            </w:r>
            <w:r w:rsidR="00D83ADD">
              <w:rPr>
                <w:noProof/>
              </w:rPr>
              <w:instrText xml:space="preserve"> PAGEREF _Toc243908053 \h </w:instrText>
            </w:r>
            <w:r w:rsidR="00D83ADD">
              <w:rPr>
                <w:noProof/>
              </w:rPr>
            </w:r>
            <w:r w:rsidR="00D83ADD">
              <w:rPr>
                <w:noProof/>
              </w:rPr>
              <w:fldChar w:fldCharType="separate"/>
            </w:r>
            <w:r w:rsidR="00D83ADD">
              <w:rPr>
                <w:noProof/>
              </w:rPr>
              <w:t>100</w:t>
            </w:r>
            <w:r w:rsidR="00D83ADD">
              <w:rPr>
                <w:noProof/>
              </w:rPr>
              <w:fldChar w:fldCharType="end"/>
            </w:r>
          </w:hyperlink>
        </w:p>
        <w:p w14:paraId="6BB819F3" w14:textId="11CD7F34" w:rsidR="00D83ADD" w:rsidRDefault="00E77CAF">
          <w:pPr>
            <w:pStyle w:val="TOC2"/>
            <w:rPr>
              <w:rFonts w:asciiTheme="minorHAnsi" w:eastAsiaTheme="minorEastAsia" w:hAnsiTheme="minorHAnsi" w:cstheme="minorBidi"/>
              <w:noProof/>
              <w:color w:val="auto"/>
              <w:kern w:val="2"/>
              <w:sz w:val="24"/>
              <w:szCs w:val="24"/>
              <w:lang w:val="en-GB" w:eastAsia="en-GB"/>
              <w14:ligatures w14:val="standardContextual"/>
            </w:rPr>
          </w:pPr>
          <w:hyperlink w:anchor="_Toc243908054" w:history="1">
            <w:r w:rsidR="00D83ADD" w:rsidRPr="009D0911">
              <w:rPr>
                <w:rStyle w:val="Hyperlink"/>
                <w:noProof/>
              </w:rPr>
              <w:t>Сајбер-безбедност, програми и технички кратенки</w:t>
            </w:r>
            <w:r w:rsidR="00D83ADD">
              <w:rPr>
                <w:noProof/>
              </w:rPr>
              <w:tab/>
            </w:r>
            <w:r w:rsidR="00D83ADD">
              <w:rPr>
                <w:noProof/>
              </w:rPr>
              <w:fldChar w:fldCharType="begin"/>
            </w:r>
            <w:r w:rsidR="00D83ADD">
              <w:rPr>
                <w:noProof/>
              </w:rPr>
              <w:instrText xml:space="preserve"> PAGEREF _Toc243908054 \h </w:instrText>
            </w:r>
            <w:r w:rsidR="00D83ADD">
              <w:rPr>
                <w:noProof/>
              </w:rPr>
            </w:r>
            <w:r w:rsidR="00D83ADD">
              <w:rPr>
                <w:noProof/>
              </w:rPr>
              <w:fldChar w:fldCharType="separate"/>
            </w:r>
            <w:r w:rsidR="00D83ADD">
              <w:rPr>
                <w:noProof/>
              </w:rPr>
              <w:t>100</w:t>
            </w:r>
            <w:r w:rsidR="00D83ADD">
              <w:rPr>
                <w:noProof/>
              </w:rPr>
              <w:fldChar w:fldCharType="end"/>
            </w:r>
          </w:hyperlink>
        </w:p>
        <w:p w14:paraId="10C86DA6" w14:textId="6D98ED9D" w:rsidR="00D83ADD" w:rsidRDefault="00E77CAF">
          <w:pPr>
            <w:pStyle w:val="TOC1"/>
            <w:rPr>
              <w:rFonts w:asciiTheme="minorHAnsi" w:eastAsiaTheme="minorEastAsia" w:hAnsiTheme="minorHAnsi" w:cstheme="minorBidi"/>
              <w:noProof/>
              <w:color w:val="auto"/>
              <w:kern w:val="2"/>
              <w:sz w:val="24"/>
              <w:szCs w:val="24"/>
              <w:lang w:val="en-GB" w:eastAsia="en-GB"/>
              <w14:ligatures w14:val="standardContextual"/>
            </w:rPr>
          </w:pPr>
          <w:hyperlink w:anchor="_Toc243908055" w:history="1">
            <w:r w:rsidR="00D83ADD" w:rsidRPr="009D0911">
              <w:rPr>
                <w:rStyle w:val="Hyperlink"/>
                <w:rFonts w:ascii="Times New Roman" w:hAnsi="Times New Roman" w:cs="Times New Roman"/>
                <w:noProof/>
                <w:lang w:val="mk-MK"/>
              </w:rPr>
              <w:t>13. УТВРДУВАЊЕ НА РИЗИЦИ</w:t>
            </w:r>
            <w:r w:rsidR="00D83ADD">
              <w:rPr>
                <w:noProof/>
              </w:rPr>
              <w:tab/>
            </w:r>
            <w:r w:rsidR="00D83ADD">
              <w:rPr>
                <w:noProof/>
              </w:rPr>
              <w:fldChar w:fldCharType="begin"/>
            </w:r>
            <w:r w:rsidR="00D83ADD">
              <w:rPr>
                <w:noProof/>
              </w:rPr>
              <w:instrText xml:space="preserve"> PAGEREF _Toc243908055 \h </w:instrText>
            </w:r>
            <w:r w:rsidR="00D83ADD">
              <w:rPr>
                <w:noProof/>
              </w:rPr>
            </w:r>
            <w:r w:rsidR="00D83ADD">
              <w:rPr>
                <w:noProof/>
              </w:rPr>
              <w:fldChar w:fldCharType="separate"/>
            </w:r>
            <w:r w:rsidR="00D83ADD">
              <w:rPr>
                <w:noProof/>
              </w:rPr>
              <w:t>102</w:t>
            </w:r>
            <w:r w:rsidR="00D83ADD">
              <w:rPr>
                <w:noProof/>
              </w:rPr>
              <w:fldChar w:fldCharType="end"/>
            </w:r>
          </w:hyperlink>
        </w:p>
        <w:p w14:paraId="74234235" w14:textId="265F84BA" w:rsidR="00D83ADD" w:rsidRDefault="00E77CAF">
          <w:pPr>
            <w:pStyle w:val="TOC2"/>
            <w:rPr>
              <w:rFonts w:asciiTheme="minorHAnsi" w:eastAsiaTheme="minorEastAsia" w:hAnsiTheme="minorHAnsi" w:cstheme="minorBidi"/>
              <w:noProof/>
              <w:color w:val="auto"/>
              <w:kern w:val="2"/>
              <w:sz w:val="24"/>
              <w:szCs w:val="24"/>
              <w:lang w:val="en-GB" w:eastAsia="en-GB"/>
              <w14:ligatures w14:val="standardContextual"/>
            </w:rPr>
          </w:pPr>
          <w:hyperlink w:anchor="_Toc243908056" w:history="1">
            <w:r w:rsidR="00D83ADD" w:rsidRPr="009D0911">
              <w:rPr>
                <w:rStyle w:val="Hyperlink"/>
                <w:rFonts w:ascii="Times New Roman" w:hAnsi="Times New Roman" w:cs="Times New Roman"/>
                <w:noProof/>
                <w:lang w:val="mk-MK"/>
              </w:rPr>
              <w:t>СПИСОК НА РЕФЕРЕНЦИ</w:t>
            </w:r>
            <w:r w:rsidR="00D83ADD">
              <w:rPr>
                <w:noProof/>
              </w:rPr>
              <w:tab/>
            </w:r>
            <w:r w:rsidR="00D83ADD">
              <w:rPr>
                <w:noProof/>
              </w:rPr>
              <w:fldChar w:fldCharType="begin"/>
            </w:r>
            <w:r w:rsidR="00D83ADD">
              <w:rPr>
                <w:noProof/>
              </w:rPr>
              <w:instrText xml:space="preserve"> PAGEREF _Toc243908056 \h </w:instrText>
            </w:r>
            <w:r w:rsidR="00D83ADD">
              <w:rPr>
                <w:noProof/>
              </w:rPr>
            </w:r>
            <w:r w:rsidR="00D83ADD">
              <w:rPr>
                <w:noProof/>
              </w:rPr>
              <w:fldChar w:fldCharType="separate"/>
            </w:r>
            <w:r w:rsidR="00D83ADD">
              <w:rPr>
                <w:noProof/>
              </w:rPr>
              <w:t>105</w:t>
            </w:r>
            <w:r w:rsidR="00D83ADD">
              <w:rPr>
                <w:noProof/>
              </w:rPr>
              <w:fldChar w:fldCharType="end"/>
            </w:r>
          </w:hyperlink>
        </w:p>
        <w:p w14:paraId="3DFAA2ED" w14:textId="07AFE158" w:rsidR="00FE200F" w:rsidRDefault="00E77CAF">
          <w:pPr>
            <w:pStyle w:val="TOC2"/>
            <w:tabs>
              <w:tab w:val="clear" w:pos="8357"/>
              <w:tab w:val="right" w:leader="dot" w:pos="8639"/>
            </w:tabs>
          </w:pPr>
          <w:r>
            <w:rPr>
              <w:rStyle w:val="IndexLink"/>
            </w:rPr>
            <w:fldChar w:fldCharType="end"/>
          </w:r>
        </w:p>
      </w:sdtContent>
    </w:sdt>
    <w:p w14:paraId="53493025" w14:textId="77777777" w:rsidR="00FE200F" w:rsidRDefault="00FE200F">
      <w:pPr>
        <w:pStyle w:val="Heading2"/>
        <w:rPr>
          <w:rFonts w:ascii="Times New Roman" w:hAnsi="Times New Roman" w:cs="Times New Roman"/>
          <w:color w:val="auto"/>
        </w:rPr>
      </w:pPr>
    </w:p>
    <w:p w14:paraId="39C8D14F" w14:textId="77777777" w:rsidR="00FE200F" w:rsidRDefault="00FE200F">
      <w:pPr>
        <w:pStyle w:val="Comment"/>
      </w:pPr>
    </w:p>
    <w:p w14:paraId="6812A3AE" w14:textId="77777777" w:rsidR="00FE200F" w:rsidRDefault="00E77CAF">
      <w:pPr>
        <w:pStyle w:val="Heading2"/>
        <w:rPr>
          <w:rFonts w:ascii="Times New Roman" w:hAnsi="Times New Roman" w:cs="Times New Roman"/>
          <w:color w:val="auto"/>
        </w:rPr>
      </w:pPr>
      <w:bookmarkStart w:id="3" w:name="_Toc240630027"/>
      <w:bookmarkStart w:id="4" w:name="_Toc243907970"/>
      <w:r>
        <w:rPr>
          <w:rFonts w:ascii="Times New Roman" w:hAnsi="Times New Roman" w:cs="Times New Roman"/>
          <w:color w:val="auto"/>
          <w:lang w:val="mk-MK"/>
        </w:rPr>
        <w:lastRenderedPageBreak/>
        <w:t>I ВОВЕД</w:t>
      </w:r>
      <w:bookmarkEnd w:id="3"/>
      <w:bookmarkEnd w:id="4"/>
    </w:p>
    <w:p w14:paraId="2E1E3E34" w14:textId="77777777" w:rsidR="00FE200F" w:rsidRDefault="00E77CAF">
      <w:pPr>
        <w:pStyle w:val="Heading2"/>
        <w:jc w:val="center"/>
        <w:rPr>
          <w:rFonts w:ascii="Times New Roman" w:hAnsi="Times New Roman" w:cs="Times New Roman"/>
          <w:lang w:val="mk-MK"/>
        </w:rPr>
      </w:pPr>
      <w:bookmarkStart w:id="5" w:name="_Toc240630028"/>
      <w:bookmarkStart w:id="6" w:name="_Toc243907971"/>
      <w:r>
        <w:rPr>
          <w:rFonts w:ascii="Times New Roman" w:hAnsi="Times New Roman" w:cs="Times New Roman"/>
          <w:color w:val="auto"/>
          <w:sz w:val="24"/>
          <w:szCs w:val="24"/>
          <w:lang w:val="mk-MK"/>
        </w:rPr>
        <w:t>1. ВОВЕД И МЕТОДОЛОГИЈА</w:t>
      </w:r>
      <w:bookmarkEnd w:id="5"/>
      <w:bookmarkEnd w:id="6"/>
    </w:p>
    <w:p w14:paraId="59450B42" w14:textId="77777777" w:rsidR="00FE200F" w:rsidRDefault="00E77CAF">
      <w:pPr>
        <w:pStyle w:val="Heading3"/>
        <w:jc w:val="both"/>
        <w:rPr>
          <w:rFonts w:ascii="Times New Roman" w:hAnsi="Times New Roman" w:cs="Times New Roman"/>
          <w:lang w:val="mk-MK"/>
        </w:rPr>
      </w:pPr>
      <w:bookmarkStart w:id="7" w:name="_Toc240630029"/>
      <w:bookmarkStart w:id="8" w:name="_Toc243907972"/>
      <w:r>
        <w:rPr>
          <w:rFonts w:ascii="Times New Roman" w:hAnsi="Times New Roman" w:cs="Times New Roman"/>
          <w:color w:val="auto"/>
          <w:lang w:val="mk-MK"/>
        </w:rPr>
        <w:t>1.1 Контекст и цел</w:t>
      </w:r>
      <w:bookmarkEnd w:id="7"/>
      <w:bookmarkEnd w:id="8"/>
    </w:p>
    <w:p w14:paraId="48CDCFEC" w14:textId="77777777" w:rsidR="00FE200F" w:rsidRDefault="00E77CAF">
      <w:pPr>
        <w:jc w:val="both"/>
        <w:rPr>
          <w:rFonts w:ascii="Times New Roman" w:hAnsi="Times New Roman" w:cs="Times New Roman"/>
          <w:color w:val="auto"/>
          <w:lang w:val="en-GB"/>
        </w:rPr>
      </w:pPr>
      <w:r>
        <w:rPr>
          <w:rFonts w:ascii="Times New Roman" w:hAnsi="Times New Roman" w:cs="Times New Roman"/>
          <w:color w:val="auto"/>
          <w:lang w:val="mk-MK"/>
        </w:rPr>
        <w:t>Република Северна Македонија се наоѓа на клучна пресвртница во своето дигитално и технолошко созревање. Вештачката интелигенција брзо се трансформира од технолошки новитет во стратешки ресурс кој ги обликува економиите, владите и општест</w:t>
      </w:r>
      <w:r>
        <w:rPr>
          <w:rFonts w:ascii="Times New Roman" w:hAnsi="Times New Roman" w:cs="Times New Roman"/>
          <w:color w:val="auto"/>
          <w:lang w:val="mk-MK"/>
        </w:rPr>
        <w:t>вата. Во контекст на евроатлантските интеграции и обврските за усогласување со правото на Европската унија, потребата за сеопфатна Стратегија за употреба на ВИ е итна и неодложна.</w:t>
      </w:r>
    </w:p>
    <w:p w14:paraId="1AAE6E9F" w14:textId="77777777" w:rsidR="00FE200F" w:rsidRDefault="00E77CAF">
      <w:pPr>
        <w:jc w:val="both"/>
        <w:rPr>
          <w:rFonts w:ascii="Times New Roman" w:hAnsi="Times New Roman" w:cs="Times New Roman"/>
          <w:color w:val="auto"/>
          <w:lang w:val="en-GB"/>
        </w:rPr>
      </w:pPr>
      <w:r>
        <w:rPr>
          <w:rFonts w:ascii="Times New Roman" w:hAnsi="Times New Roman" w:cs="Times New Roman"/>
          <w:noProof/>
          <w:color w:val="auto"/>
        </w:rPr>
        <w:drawing>
          <wp:anchor distT="0" distB="0" distL="0" distR="0" simplePos="0" relativeHeight="3" behindDoc="0" locked="0" layoutInCell="0" allowOverlap="1" wp14:anchorId="701A4E85" wp14:editId="3C4329B2">
            <wp:simplePos x="0" y="0"/>
            <wp:positionH relativeFrom="margin">
              <wp:posOffset>-419100</wp:posOffset>
            </wp:positionH>
            <wp:positionV relativeFrom="paragraph">
              <wp:posOffset>130175</wp:posOffset>
            </wp:positionV>
            <wp:extent cx="6323965" cy="321818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a:stretch>
                      <a:fillRect/>
                    </a:stretch>
                  </pic:blipFill>
                  <pic:spPr bwMode="auto">
                    <a:xfrm>
                      <a:off x="0" y="0"/>
                      <a:ext cx="6323965" cy="3218180"/>
                    </a:xfrm>
                    <a:prstGeom prst="rect">
                      <a:avLst/>
                    </a:prstGeom>
                  </pic:spPr>
                </pic:pic>
              </a:graphicData>
            </a:graphic>
          </wp:anchor>
        </w:drawing>
      </w:r>
    </w:p>
    <w:p w14:paraId="30D69418" w14:textId="77777777" w:rsidR="00FE200F" w:rsidRDefault="00FE200F">
      <w:pPr>
        <w:jc w:val="both"/>
        <w:rPr>
          <w:rFonts w:ascii="Times New Roman" w:hAnsi="Times New Roman" w:cs="Times New Roman"/>
          <w:color w:val="auto"/>
          <w:lang w:val="en-GB"/>
        </w:rPr>
      </w:pPr>
    </w:p>
    <w:p w14:paraId="32FC1764" w14:textId="77777777" w:rsidR="00FE200F" w:rsidRDefault="00FE200F">
      <w:pPr>
        <w:jc w:val="both"/>
        <w:rPr>
          <w:rFonts w:ascii="Times New Roman" w:hAnsi="Times New Roman" w:cs="Times New Roman"/>
          <w:color w:val="auto"/>
          <w:lang w:val="en-GB"/>
        </w:rPr>
      </w:pPr>
    </w:p>
    <w:p w14:paraId="0C1A136D" w14:textId="77777777" w:rsidR="00FE200F" w:rsidRDefault="00FE200F">
      <w:pPr>
        <w:jc w:val="both"/>
        <w:rPr>
          <w:rFonts w:ascii="Times New Roman" w:hAnsi="Times New Roman" w:cs="Times New Roman"/>
          <w:color w:val="auto"/>
          <w:lang w:val="en-GB"/>
        </w:rPr>
      </w:pPr>
    </w:p>
    <w:p w14:paraId="5F67E3A2" w14:textId="77777777" w:rsidR="00FE200F" w:rsidRDefault="00FE200F">
      <w:pPr>
        <w:jc w:val="both"/>
        <w:rPr>
          <w:rFonts w:ascii="Times New Roman" w:hAnsi="Times New Roman" w:cs="Times New Roman"/>
          <w:color w:val="auto"/>
          <w:lang w:val="en-GB"/>
        </w:rPr>
      </w:pPr>
    </w:p>
    <w:p w14:paraId="2F94B00B" w14:textId="77777777" w:rsidR="00FE200F" w:rsidRDefault="00FE200F">
      <w:pPr>
        <w:jc w:val="both"/>
        <w:rPr>
          <w:rFonts w:ascii="Times New Roman" w:hAnsi="Times New Roman" w:cs="Times New Roman"/>
          <w:color w:val="auto"/>
          <w:lang w:val="en-GB"/>
        </w:rPr>
      </w:pPr>
    </w:p>
    <w:p w14:paraId="763268F0" w14:textId="77777777" w:rsidR="00FE200F" w:rsidRDefault="00FE200F">
      <w:pPr>
        <w:jc w:val="both"/>
        <w:rPr>
          <w:rFonts w:ascii="Times New Roman" w:hAnsi="Times New Roman" w:cs="Times New Roman"/>
          <w:color w:val="auto"/>
          <w:lang w:val="en-GB"/>
        </w:rPr>
      </w:pPr>
    </w:p>
    <w:p w14:paraId="06F0C251" w14:textId="77777777" w:rsidR="00FE200F" w:rsidRDefault="00FE200F">
      <w:pPr>
        <w:jc w:val="both"/>
        <w:rPr>
          <w:rFonts w:ascii="Times New Roman" w:hAnsi="Times New Roman" w:cs="Times New Roman"/>
          <w:color w:val="auto"/>
          <w:lang w:val="en-GB"/>
        </w:rPr>
      </w:pPr>
    </w:p>
    <w:p w14:paraId="5D5B4BF4" w14:textId="77777777" w:rsidR="00FE200F" w:rsidRDefault="00FE200F">
      <w:pPr>
        <w:jc w:val="both"/>
        <w:rPr>
          <w:rFonts w:ascii="Times New Roman" w:hAnsi="Times New Roman" w:cs="Times New Roman"/>
          <w:color w:val="auto"/>
          <w:lang w:val="en-GB"/>
        </w:rPr>
      </w:pPr>
    </w:p>
    <w:p w14:paraId="127DC821" w14:textId="77777777" w:rsidR="00FE200F" w:rsidRDefault="00FE200F">
      <w:pPr>
        <w:jc w:val="both"/>
        <w:rPr>
          <w:rFonts w:ascii="Times New Roman" w:hAnsi="Times New Roman" w:cs="Times New Roman"/>
          <w:color w:val="auto"/>
          <w:lang w:val="en-GB"/>
        </w:rPr>
      </w:pPr>
    </w:p>
    <w:p w14:paraId="7E735075" w14:textId="77777777" w:rsidR="00FE200F" w:rsidRDefault="00FE200F">
      <w:pPr>
        <w:jc w:val="both"/>
        <w:rPr>
          <w:rFonts w:ascii="Times New Roman" w:hAnsi="Times New Roman" w:cs="Times New Roman"/>
          <w:color w:val="auto"/>
          <w:lang w:val="en-GB"/>
        </w:rPr>
      </w:pPr>
    </w:p>
    <w:p w14:paraId="28E29ABB" w14:textId="77777777" w:rsidR="00FE200F" w:rsidRDefault="00FE200F">
      <w:pPr>
        <w:jc w:val="both"/>
        <w:rPr>
          <w:rFonts w:ascii="Times New Roman" w:hAnsi="Times New Roman" w:cs="Times New Roman"/>
          <w:color w:val="auto"/>
          <w:lang w:val="en-GB"/>
        </w:rPr>
      </w:pPr>
    </w:p>
    <w:p w14:paraId="1856C5F0" w14:textId="77777777" w:rsidR="00FE200F" w:rsidRDefault="00FE200F">
      <w:pPr>
        <w:jc w:val="both"/>
        <w:rPr>
          <w:rFonts w:ascii="Times New Roman" w:hAnsi="Times New Roman" w:cs="Times New Roman"/>
          <w:lang w:val="en-GB"/>
        </w:rPr>
      </w:pPr>
    </w:p>
    <w:p w14:paraId="53F43F09" w14:textId="77777777" w:rsidR="00FE200F" w:rsidRDefault="00E77CAF">
      <w:pPr>
        <w:jc w:val="center"/>
        <w:rPr>
          <w:rFonts w:ascii="Times New Roman" w:hAnsi="Times New Roman" w:cs="Times New Roman"/>
          <w:lang w:val="mk-MK"/>
        </w:rPr>
      </w:pPr>
      <w:r>
        <w:rPr>
          <w:rFonts w:ascii="Times New Roman" w:hAnsi="Times New Roman" w:cs="Times New Roman"/>
          <w:b/>
          <w:bCs/>
          <w:i/>
          <w:iCs/>
          <w:color w:val="auto"/>
          <w:sz w:val="18"/>
          <w:szCs w:val="18"/>
          <w:lang w:val="mk-MK"/>
        </w:rPr>
        <w:t xml:space="preserve">Графикон 1: Раст на ИКТ секторот во Република Северна </w:t>
      </w:r>
      <w:r>
        <w:rPr>
          <w:rFonts w:ascii="Times New Roman" w:hAnsi="Times New Roman" w:cs="Times New Roman"/>
          <w:b/>
          <w:bCs/>
          <w:i/>
          <w:iCs/>
          <w:color w:val="auto"/>
          <w:sz w:val="18"/>
          <w:szCs w:val="18"/>
          <w:lang w:val="mk-MK"/>
        </w:rPr>
        <w:t>Македонија (2021-2024)</w:t>
      </w:r>
    </w:p>
    <w:p w14:paraId="5C23149C" w14:textId="77777777" w:rsidR="00FE200F" w:rsidRDefault="00FE200F">
      <w:pPr>
        <w:jc w:val="both"/>
        <w:rPr>
          <w:rFonts w:ascii="Times New Roman" w:hAnsi="Times New Roman" w:cs="Times New Roman"/>
          <w:color w:val="auto"/>
          <w:lang w:val="en-GB"/>
        </w:rPr>
      </w:pPr>
    </w:p>
    <w:p w14:paraId="48DA846E"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Според Државниот завод за ревизија, во периодот 2018–2023 преку Фондот за иновации и технолошки развој се кофинансирани 48 проекти со елементи на вештачка интелигенција, со вкупна проектна вредност од 6.110.044 евра и кофинансирање </w:t>
      </w:r>
      <w:r>
        <w:rPr>
          <w:rFonts w:ascii="Times New Roman" w:hAnsi="Times New Roman" w:cs="Times New Roman"/>
          <w:color w:val="auto"/>
          <w:lang w:val="mk-MK"/>
        </w:rPr>
        <w:t>од 4.343.161 евра; до датумот на извештајот ниту еден од нив не бил имплементиран во јавниот сектор. Овој наод укажува на потреба од построго планирање, проверливо пилотирање, следење на резултатите и јасна одговорност за јавните ВИ иницијативи.</w:t>
      </w:r>
    </w:p>
    <w:p w14:paraId="02174F0D"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Министерст</w:t>
      </w:r>
      <w:r>
        <w:rPr>
          <w:rFonts w:ascii="Times New Roman" w:hAnsi="Times New Roman" w:cs="Times New Roman"/>
          <w:color w:val="auto"/>
          <w:lang w:val="mk-MK"/>
        </w:rPr>
        <w:t>вото за дигитална трансформација (МДТ), основано во 2024 година, го иницираше процесот на изработка на Стратегијата за употреба на вештачка интелигенција 2027–2032, која ги идентификува постојните состојби, ги анализира силните и слабите страни, можностите</w:t>
      </w:r>
      <w:r>
        <w:rPr>
          <w:rFonts w:ascii="Times New Roman" w:hAnsi="Times New Roman" w:cs="Times New Roman"/>
          <w:color w:val="auto"/>
          <w:lang w:val="mk-MK"/>
        </w:rPr>
        <w:t xml:space="preserve"> и заканите (SWOT), ги утврдува меѓународните најдобри практики и ја поставува стратешката насока преку визија, мисија и Теорија на промена (Theory of Change – ToC).</w:t>
      </w:r>
    </w:p>
    <w:p w14:paraId="53404617" w14:textId="77777777" w:rsidR="00FE200F" w:rsidRDefault="00E77CAF">
      <w:pPr>
        <w:pStyle w:val="Heading3"/>
        <w:jc w:val="both"/>
        <w:rPr>
          <w:rFonts w:ascii="Times New Roman" w:hAnsi="Times New Roman" w:cs="Times New Roman"/>
          <w:lang w:val="mk-MK"/>
        </w:rPr>
      </w:pPr>
      <w:bookmarkStart w:id="9" w:name="_Toc240630030"/>
      <w:bookmarkStart w:id="10" w:name="_Toc243907973"/>
      <w:r>
        <w:rPr>
          <w:rFonts w:ascii="Times New Roman" w:hAnsi="Times New Roman" w:cs="Times New Roman"/>
          <w:color w:val="auto"/>
          <w:lang w:val="mk-MK"/>
        </w:rPr>
        <w:lastRenderedPageBreak/>
        <w:t>1.2 Методологија</w:t>
      </w:r>
      <w:bookmarkEnd w:id="9"/>
      <w:bookmarkEnd w:id="10"/>
    </w:p>
    <w:p w14:paraId="63CDCC2E"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Овој документ е подготвен врз основа на сеопфатен и мултидисциплинарен пр</w:t>
      </w:r>
      <w:r>
        <w:rPr>
          <w:rFonts w:ascii="Times New Roman" w:hAnsi="Times New Roman" w:cs="Times New Roman"/>
          <w:color w:val="auto"/>
          <w:lang w:val="mk-MK"/>
        </w:rPr>
        <w:t>истап кој вклучува:</w:t>
      </w:r>
    </w:p>
    <w:p w14:paraId="691ED9CC" w14:textId="77777777" w:rsidR="00FE200F" w:rsidRDefault="00E77CAF">
      <w:pPr>
        <w:pStyle w:val="ListBullet"/>
        <w:jc w:val="both"/>
        <w:rPr>
          <w:rFonts w:ascii="Times New Roman" w:hAnsi="Times New Roman" w:cs="Times New Roman"/>
          <w:lang w:val="mk-MK"/>
        </w:rPr>
      </w:pPr>
      <w:r>
        <w:rPr>
          <w:rFonts w:ascii="Times New Roman" w:hAnsi="Times New Roman" w:cs="Times New Roman"/>
          <w:b/>
          <w:color w:val="auto"/>
          <w:lang w:val="mk-MK"/>
        </w:rPr>
        <w:t>Длабински преглед на документи:</w:t>
      </w:r>
      <w:r>
        <w:rPr>
          <w:rFonts w:ascii="Times New Roman" w:hAnsi="Times New Roman" w:cs="Times New Roman"/>
          <w:color w:val="auto"/>
          <w:lang w:val="mk-MK"/>
        </w:rPr>
        <w:t xml:space="preserve"> Анализа на 11 клучни стратешки и законски документи на Република Северна Македонија, вклучувајќи ги СМАРТ/МК 2030, Стратегијата за паметна специјализација 2024–2027, Стратегијата за сајбер-безбедност 2025</w:t>
      </w:r>
      <w:r>
        <w:rPr>
          <w:rFonts w:ascii="Times New Roman" w:hAnsi="Times New Roman" w:cs="Times New Roman"/>
          <w:color w:val="auto"/>
          <w:lang w:val="mk-MK"/>
        </w:rPr>
        <w:t>–2028, и Националната развојна стратегија 2024–2044 (НРС).</w:t>
      </w:r>
    </w:p>
    <w:p w14:paraId="5F966630" w14:textId="77777777" w:rsidR="00FE200F" w:rsidRDefault="00E77CAF">
      <w:pPr>
        <w:pStyle w:val="ListBullet"/>
        <w:jc w:val="both"/>
        <w:rPr>
          <w:rFonts w:ascii="Times New Roman" w:hAnsi="Times New Roman" w:cs="Times New Roman"/>
          <w:lang w:val="mk-MK"/>
        </w:rPr>
      </w:pPr>
      <w:r>
        <w:rPr>
          <w:rFonts w:ascii="Times New Roman" w:hAnsi="Times New Roman" w:cs="Times New Roman"/>
          <w:b/>
          <w:color w:val="auto"/>
          <w:lang w:val="mk-MK"/>
        </w:rPr>
        <w:t>Меѓународна компаративна анализа:</w:t>
      </w:r>
      <w:r>
        <w:rPr>
          <w:rFonts w:ascii="Times New Roman" w:hAnsi="Times New Roman" w:cs="Times New Roman"/>
          <w:color w:val="auto"/>
          <w:lang w:val="mk-MK"/>
        </w:rPr>
        <w:t xml:space="preserve"> Детален преглед на ЕУ Актот за ВИ, препораките на ОЕЦД, УНЕСКО, Советот на Европа и G7 Хирошима процесот, како и регионалните стратегии на Србија, Хрватска и Албан</w:t>
      </w:r>
      <w:r>
        <w:rPr>
          <w:rFonts w:ascii="Times New Roman" w:hAnsi="Times New Roman" w:cs="Times New Roman"/>
          <w:color w:val="auto"/>
          <w:lang w:val="mk-MK"/>
        </w:rPr>
        <w:t>ија.</w:t>
      </w:r>
    </w:p>
    <w:p w14:paraId="27DB1BAD" w14:textId="77777777" w:rsidR="00FE200F" w:rsidRDefault="00E77CAF">
      <w:pPr>
        <w:pStyle w:val="ListBullet"/>
        <w:jc w:val="both"/>
        <w:rPr>
          <w:rFonts w:ascii="Times New Roman" w:hAnsi="Times New Roman" w:cs="Times New Roman"/>
          <w:lang w:val="mk-MK"/>
        </w:rPr>
      </w:pPr>
      <w:r>
        <w:rPr>
          <w:rFonts w:ascii="Times New Roman" w:hAnsi="Times New Roman" w:cs="Times New Roman"/>
          <w:b/>
          <w:color w:val="auto"/>
          <w:lang w:val="mk-MK"/>
        </w:rPr>
        <w:t>Квантитативна и квалитативна анализа:</w:t>
      </w:r>
      <w:r>
        <w:rPr>
          <w:rFonts w:ascii="Times New Roman" w:hAnsi="Times New Roman" w:cs="Times New Roman"/>
          <w:color w:val="auto"/>
          <w:lang w:val="mk-MK"/>
        </w:rPr>
        <w:t xml:space="preserve"> Користење на меѓународни индекси (Глобален иновациски индекс, ИТУ ИКТ Индекс на развој, OECD </w:t>
      </w:r>
      <w:r>
        <w:rPr>
          <w:rFonts w:ascii="Times New Roman" w:hAnsi="Times New Roman" w:cs="Times New Roman"/>
          <w:i/>
          <w:iCs/>
          <w:color w:val="auto"/>
          <w:lang w:val="mk-MK"/>
        </w:rPr>
        <w:t>Scoreboard</w:t>
      </w:r>
      <w:r>
        <w:rPr>
          <w:rFonts w:ascii="Times New Roman" w:hAnsi="Times New Roman" w:cs="Times New Roman"/>
          <w:color w:val="auto"/>
          <w:lang w:val="mk-MK"/>
        </w:rPr>
        <w:t xml:space="preserve"> за Западен Балкан 2025, </w:t>
      </w:r>
      <w:r>
        <w:rPr>
          <w:rFonts w:ascii="Times New Roman" w:hAnsi="Times New Roman" w:cs="Times New Roman"/>
          <w:i/>
          <w:iCs/>
          <w:color w:val="auto"/>
          <w:lang w:val="mk-MK"/>
        </w:rPr>
        <w:t>UNDP</w:t>
      </w:r>
      <w:r>
        <w:rPr>
          <w:rFonts w:ascii="Times New Roman" w:hAnsi="Times New Roman" w:cs="Times New Roman"/>
          <w:color w:val="auto"/>
          <w:lang w:val="mk-MK"/>
        </w:rPr>
        <w:t xml:space="preserve"> Проценка на дигиталната подготвеност) за утврдување на почетната состојба.</w:t>
      </w:r>
    </w:p>
    <w:p w14:paraId="1BC18654" w14:textId="77777777" w:rsidR="00FE200F" w:rsidRDefault="00E77CAF">
      <w:pPr>
        <w:pStyle w:val="ListBullet"/>
        <w:jc w:val="both"/>
        <w:rPr>
          <w:rFonts w:ascii="Times New Roman" w:hAnsi="Times New Roman" w:cs="Times New Roman"/>
          <w:lang w:val="mk-MK"/>
        </w:rPr>
      </w:pPr>
      <w:r>
        <w:rPr>
          <w:rFonts w:ascii="Times New Roman" w:hAnsi="Times New Roman" w:cs="Times New Roman"/>
          <w:b/>
          <w:color w:val="auto"/>
          <w:lang w:val="mk-MK"/>
        </w:rPr>
        <w:t xml:space="preserve">SWOT </w:t>
      </w:r>
      <w:r>
        <w:rPr>
          <w:rFonts w:ascii="Times New Roman" w:hAnsi="Times New Roman" w:cs="Times New Roman"/>
          <w:b/>
          <w:color w:val="auto"/>
          <w:lang w:val="mk-MK"/>
        </w:rPr>
        <w:t>анализа:</w:t>
      </w:r>
      <w:r>
        <w:rPr>
          <w:rFonts w:ascii="Times New Roman" w:hAnsi="Times New Roman" w:cs="Times New Roman"/>
          <w:color w:val="auto"/>
          <w:lang w:val="mk-MK"/>
        </w:rPr>
        <w:t xml:space="preserve"> Структурирана анализа на силните страни, слабостите, можностите и заканите во областа на ВИ, поткрепена со емпириски докази.</w:t>
      </w:r>
    </w:p>
    <w:p w14:paraId="6A4B0D1E" w14:textId="77777777" w:rsidR="00FE200F" w:rsidRDefault="00E77CAF">
      <w:pPr>
        <w:pStyle w:val="ListBullet"/>
        <w:jc w:val="both"/>
        <w:rPr>
          <w:rFonts w:ascii="Times New Roman" w:hAnsi="Times New Roman" w:cs="Times New Roman"/>
          <w:lang w:val="mk-MK"/>
        </w:rPr>
      </w:pPr>
      <w:r>
        <w:rPr>
          <w:rFonts w:ascii="Times New Roman" w:hAnsi="Times New Roman" w:cs="Times New Roman"/>
          <w:b/>
          <w:color w:val="auto"/>
          <w:lang w:val="mk-MK"/>
        </w:rPr>
        <w:t>PESTLE анализа:</w:t>
      </w:r>
      <w:r>
        <w:rPr>
          <w:rFonts w:ascii="Times New Roman" w:hAnsi="Times New Roman" w:cs="Times New Roman"/>
          <w:color w:val="auto"/>
          <w:lang w:val="mk-MK"/>
        </w:rPr>
        <w:t xml:space="preserve"> Анализа на политичките, економските, социјалните, технолошките, правните и еколошките фактори кои влијаат </w:t>
      </w:r>
      <w:r>
        <w:rPr>
          <w:rFonts w:ascii="Times New Roman" w:hAnsi="Times New Roman" w:cs="Times New Roman"/>
          <w:color w:val="auto"/>
          <w:lang w:val="mk-MK"/>
        </w:rPr>
        <w:t>на развојот на ВИ.</w:t>
      </w:r>
    </w:p>
    <w:p w14:paraId="5C433879" w14:textId="77777777" w:rsidR="00FE200F" w:rsidRDefault="00E77CAF">
      <w:pPr>
        <w:pStyle w:val="ListBullet"/>
        <w:jc w:val="both"/>
        <w:rPr>
          <w:rFonts w:ascii="Times New Roman" w:hAnsi="Times New Roman" w:cs="Times New Roman"/>
          <w:lang w:val="mk-MK"/>
        </w:rPr>
      </w:pPr>
      <w:r>
        <w:rPr>
          <w:rFonts w:ascii="Times New Roman" w:hAnsi="Times New Roman" w:cs="Times New Roman"/>
          <w:b/>
          <w:color w:val="auto"/>
          <w:lang w:val="mk-MK"/>
        </w:rPr>
        <w:t>Консултации:</w:t>
      </w:r>
      <w:r>
        <w:rPr>
          <w:rFonts w:ascii="Times New Roman" w:hAnsi="Times New Roman" w:cs="Times New Roman"/>
          <w:color w:val="auto"/>
          <w:lang w:val="mk-MK"/>
        </w:rPr>
        <w:t xml:space="preserve"> Наодите, коментарите и анализата на членовите на работната група се интегрирани во документот.</w:t>
      </w:r>
    </w:p>
    <w:p w14:paraId="19DA6E79" w14:textId="77777777" w:rsidR="00FE200F" w:rsidRDefault="00E77CAF">
      <w:pPr>
        <w:pStyle w:val="Heading3"/>
        <w:jc w:val="both"/>
        <w:rPr>
          <w:rFonts w:ascii="Times New Roman" w:hAnsi="Times New Roman" w:cs="Times New Roman"/>
          <w:lang w:val="mk-MK"/>
        </w:rPr>
      </w:pPr>
      <w:bookmarkStart w:id="11" w:name="_Toc240630031"/>
      <w:bookmarkStart w:id="12" w:name="_Toc243907974"/>
      <w:r>
        <w:rPr>
          <w:rFonts w:ascii="Times New Roman" w:hAnsi="Times New Roman" w:cs="Times New Roman"/>
          <w:color w:val="auto"/>
          <w:lang w:val="mk-MK"/>
        </w:rPr>
        <w:t>1.3 Опфат</w:t>
      </w:r>
      <w:bookmarkEnd w:id="11"/>
      <w:bookmarkEnd w:id="12"/>
    </w:p>
    <w:p w14:paraId="6BCCDCBD" w14:textId="77777777" w:rsidR="00FE200F" w:rsidRDefault="00E77CAF">
      <w:pPr>
        <w:jc w:val="both"/>
        <w:rPr>
          <w:rFonts w:ascii="Times New Roman" w:hAnsi="Times New Roman" w:cs="Times New Roman"/>
          <w:color w:val="auto"/>
          <w:lang w:val="en-GB"/>
        </w:rPr>
      </w:pPr>
      <w:r>
        <w:rPr>
          <w:rFonts w:ascii="Times New Roman" w:hAnsi="Times New Roman" w:cs="Times New Roman"/>
          <w:color w:val="auto"/>
          <w:lang w:val="mk-MK"/>
        </w:rPr>
        <w:t>Воведот и анализите го покриваат периодот 2026–2032 година, со посебен акцент на дијагностиката на тековната состојба и</w:t>
      </w:r>
      <w:r>
        <w:rPr>
          <w:rFonts w:ascii="Times New Roman" w:hAnsi="Times New Roman" w:cs="Times New Roman"/>
          <w:color w:val="auto"/>
          <w:lang w:val="mk-MK"/>
        </w:rPr>
        <w:t xml:space="preserve"> поставувањето на стратешките темели за Стратегијата за употреба на ВИ 2027–2032. Воведот и анализите се структурирани да служат како основа за вториот дел: дефинирање на стратешки насоки и мерки, како и јавни консултации.</w:t>
      </w:r>
    </w:p>
    <w:p w14:paraId="2D3D3520" w14:textId="77777777" w:rsidR="00FE200F" w:rsidRDefault="00FE200F">
      <w:pPr>
        <w:jc w:val="both"/>
        <w:rPr>
          <w:rFonts w:ascii="Times New Roman" w:hAnsi="Times New Roman" w:cs="Times New Roman"/>
          <w:lang w:val="en-GB"/>
        </w:rPr>
      </w:pPr>
    </w:p>
    <w:p w14:paraId="202BC6D9" w14:textId="77777777" w:rsidR="00FE200F" w:rsidRDefault="00E77CAF">
      <w:pPr>
        <w:pStyle w:val="Heading2"/>
        <w:jc w:val="center"/>
        <w:rPr>
          <w:rFonts w:ascii="Times New Roman" w:hAnsi="Times New Roman" w:cs="Times New Roman"/>
          <w:lang w:val="mk-MK"/>
        </w:rPr>
      </w:pPr>
      <w:bookmarkStart w:id="13" w:name="_Toc240630032"/>
      <w:bookmarkStart w:id="14" w:name="_Toc243907975"/>
      <w:r>
        <w:rPr>
          <w:rFonts w:ascii="Times New Roman" w:hAnsi="Times New Roman" w:cs="Times New Roman"/>
          <w:color w:val="auto"/>
          <w:sz w:val="24"/>
          <w:szCs w:val="24"/>
          <w:lang w:val="mk-MK"/>
        </w:rPr>
        <w:t>2. ПРЕГЛЕД НА РЕЛЕВАНТНИ СТРАТЕГ</w:t>
      </w:r>
      <w:r>
        <w:rPr>
          <w:rFonts w:ascii="Times New Roman" w:hAnsi="Times New Roman" w:cs="Times New Roman"/>
          <w:color w:val="auto"/>
          <w:sz w:val="24"/>
          <w:szCs w:val="24"/>
          <w:lang w:val="mk-MK"/>
        </w:rPr>
        <w:t>ИИ И ЗАКОНСКИ РАМКИ</w:t>
      </w:r>
      <w:bookmarkEnd w:id="13"/>
      <w:bookmarkEnd w:id="14"/>
    </w:p>
    <w:p w14:paraId="4A782B7A"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Успешната имплементација на Стратегијата за ВИ бара нејзина целосна интеграција во постојниот стратешки екосистем на државата. Во овој дел е направена длабинска анализа на клучните национални документи.</w:t>
      </w:r>
    </w:p>
    <w:p w14:paraId="7F28CD72" w14:textId="77777777" w:rsidR="00FE200F" w:rsidRDefault="00E77CAF">
      <w:pPr>
        <w:pStyle w:val="Heading2"/>
        <w:jc w:val="both"/>
        <w:rPr>
          <w:rFonts w:ascii="Times New Roman" w:hAnsi="Times New Roman" w:cs="Times New Roman"/>
          <w:lang w:val="mk-MK"/>
        </w:rPr>
      </w:pPr>
      <w:bookmarkStart w:id="15" w:name="_Toc240630033"/>
      <w:bookmarkStart w:id="16" w:name="_Toc243907976"/>
      <w:r>
        <w:rPr>
          <w:rFonts w:ascii="Times New Roman" w:hAnsi="Times New Roman" w:cs="Times New Roman"/>
          <w:color w:val="auto"/>
          <w:sz w:val="22"/>
          <w:szCs w:val="22"/>
          <w:lang w:val="mk-MK"/>
        </w:rPr>
        <w:t xml:space="preserve">2.1 Национална развојна </w:t>
      </w:r>
      <w:r>
        <w:rPr>
          <w:rFonts w:ascii="Times New Roman" w:hAnsi="Times New Roman" w:cs="Times New Roman"/>
          <w:color w:val="auto"/>
          <w:sz w:val="22"/>
          <w:szCs w:val="22"/>
          <w:lang w:val="mk-MK"/>
        </w:rPr>
        <w:t>стратегија 2024–2044 (НРС)</w:t>
      </w:r>
      <w:bookmarkEnd w:id="15"/>
      <w:bookmarkEnd w:id="16"/>
    </w:p>
    <w:p w14:paraId="5B5E7E5B"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Националната развојна стратегија 2024–2044 (НРС) претставува врховен хиерархиски стратешки документ на Република Северна Македонија кој го трасира патот за долгорочен развој. Во контекст на вештачката интелигенција и дигитализаци</w:t>
      </w:r>
      <w:r>
        <w:rPr>
          <w:rFonts w:ascii="Times New Roman" w:hAnsi="Times New Roman" w:cs="Times New Roman"/>
          <w:color w:val="auto"/>
          <w:lang w:val="mk-MK"/>
        </w:rPr>
        <w:t>јата, НРС јасно ги позиционира овие технологии како клучни двигатели за економски раст, модернизација на јавниот сектор и унапредување на општествената благосостојба, предвидувајќи транзиција кон економија заснована на знаење.</w:t>
      </w:r>
    </w:p>
    <w:p w14:paraId="53225122"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lastRenderedPageBreak/>
        <w:t xml:space="preserve">Стратегијата е структурирана </w:t>
      </w:r>
      <w:r>
        <w:rPr>
          <w:rFonts w:ascii="Times New Roman" w:hAnsi="Times New Roman" w:cs="Times New Roman"/>
          <w:color w:val="auto"/>
          <w:lang w:val="mk-MK"/>
        </w:rPr>
        <w:t>во шест стратешки области, при што дигитализацијата и вештачката интелигенција се провлекуваат како хоризонтални приоритети низ повеќе клучни сектори:</w:t>
      </w:r>
    </w:p>
    <w:p w14:paraId="668F6AA7" w14:textId="77777777" w:rsidR="00FE200F" w:rsidRDefault="00E77CAF">
      <w:pPr>
        <w:pStyle w:val="Heading4"/>
        <w:spacing w:before="240"/>
        <w:jc w:val="both"/>
        <w:rPr>
          <w:rFonts w:ascii="Times New Roman" w:hAnsi="Times New Roman" w:cs="Times New Roman"/>
          <w:lang w:val="mk-MK"/>
        </w:rPr>
      </w:pPr>
      <w:r>
        <w:rPr>
          <w:rFonts w:ascii="Times New Roman" w:hAnsi="Times New Roman" w:cs="Times New Roman"/>
          <w:i w:val="0"/>
          <w:color w:val="auto"/>
          <w:lang w:val="mk-MK"/>
        </w:rPr>
        <w:t>Стратешка Област 5.1: Економија на знаење, иновации и дигитализација</w:t>
      </w:r>
    </w:p>
    <w:p w14:paraId="26FB78B0"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Во рамките на Стратешката Област 5.1</w:t>
      </w:r>
      <w:r>
        <w:rPr>
          <w:rFonts w:ascii="Times New Roman" w:hAnsi="Times New Roman" w:cs="Times New Roman"/>
          <w:color w:val="auto"/>
          <w:lang w:val="mk-MK"/>
        </w:rPr>
        <w:t>, НРС дефинира визија за изградба на економија каде производството на добра и услуги се базира на високо ниво на знаење, иновации и технолошки напредок. Стратегијата експлицитно наведува дека „вештачката интелигенција и аналитиката на големи податоци се до</w:t>
      </w:r>
      <w:r>
        <w:rPr>
          <w:rFonts w:ascii="Times New Roman" w:hAnsi="Times New Roman" w:cs="Times New Roman"/>
          <w:color w:val="auto"/>
          <w:lang w:val="mk-MK"/>
        </w:rPr>
        <w:t>ведуваат во преден план“ . Оваа стратешка определба е клучна, бидејќи ја препознава ВИ не само како алатка за оптимизација, туку како фундаментален елемент за зголемување на конкурентноста на малите и средните претпријатија (МСП) на глобалниот пазар.</w:t>
      </w:r>
    </w:p>
    <w:p w14:paraId="1851C09F" w14:textId="77777777" w:rsidR="00FE200F" w:rsidRDefault="00E77CAF">
      <w:pPr>
        <w:pStyle w:val="Heading4"/>
        <w:spacing w:before="240"/>
        <w:jc w:val="both"/>
        <w:rPr>
          <w:rFonts w:ascii="Times New Roman" w:hAnsi="Times New Roman" w:cs="Times New Roman"/>
          <w:lang w:val="mk-MK"/>
        </w:rPr>
      </w:pPr>
      <w:r>
        <w:rPr>
          <w:rFonts w:ascii="Times New Roman" w:hAnsi="Times New Roman" w:cs="Times New Roman"/>
          <w:i w:val="0"/>
          <w:color w:val="auto"/>
          <w:lang w:val="mk-MK"/>
        </w:rPr>
        <w:t>Страт</w:t>
      </w:r>
      <w:r>
        <w:rPr>
          <w:rFonts w:ascii="Times New Roman" w:hAnsi="Times New Roman" w:cs="Times New Roman"/>
          <w:i w:val="0"/>
          <w:color w:val="auto"/>
          <w:lang w:val="mk-MK"/>
        </w:rPr>
        <w:t>ешка Област 5.3: Демографска ревитализација и социјален развој</w:t>
      </w:r>
    </w:p>
    <w:p w14:paraId="13574E95"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Во доменот на здравството и социјалната заштита, НРС предвидува интеграција на ВИ за подобрување на јавното здравје. Стратегијата наведува дека „апликациите за ментално здравје и платформите за</w:t>
      </w:r>
      <w:r>
        <w:rPr>
          <w:rFonts w:ascii="Times New Roman" w:hAnsi="Times New Roman" w:cs="Times New Roman"/>
          <w:color w:val="auto"/>
          <w:lang w:val="mk-MK"/>
        </w:rPr>
        <w:t xml:space="preserve"> дигитална благосостојба што користат вештачка интелигенција (ВИ) можат да дадат клучна поддршка и да овозможат холистички пристап кон добросостојбата“. Понатаму, се истакнува дека аналитиката на податоци во комбинација со најсовремените медицински техноло</w:t>
      </w:r>
      <w:r>
        <w:rPr>
          <w:rFonts w:ascii="Times New Roman" w:hAnsi="Times New Roman" w:cs="Times New Roman"/>
          <w:color w:val="auto"/>
          <w:lang w:val="mk-MK"/>
        </w:rPr>
        <w:t>гии овозможува предиктивна нега и оптимизација на здравствените ресурси.</w:t>
      </w:r>
    </w:p>
    <w:p w14:paraId="176E7429" w14:textId="77777777" w:rsidR="00FE200F" w:rsidRDefault="00E77CAF">
      <w:pPr>
        <w:pStyle w:val="Heading4"/>
        <w:spacing w:before="240"/>
        <w:jc w:val="both"/>
        <w:rPr>
          <w:rFonts w:ascii="Times New Roman" w:hAnsi="Times New Roman" w:cs="Times New Roman"/>
          <w:lang w:val="mk-MK"/>
        </w:rPr>
      </w:pPr>
      <w:r>
        <w:rPr>
          <w:rFonts w:ascii="Times New Roman" w:hAnsi="Times New Roman" w:cs="Times New Roman"/>
          <w:i w:val="0"/>
          <w:color w:val="auto"/>
          <w:lang w:val="mk-MK"/>
        </w:rPr>
        <w:t>Стратешка Област 5.4: Владеење на правото и добро управување</w:t>
      </w:r>
    </w:p>
    <w:p w14:paraId="036B0E0F"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Во рамките на целта за „Транспарентен, отчетен и ефикасен јавен сектор“, НРС го поставува </w:t>
      </w:r>
      <w:r>
        <w:rPr>
          <w:rFonts w:ascii="Times New Roman" w:hAnsi="Times New Roman" w:cs="Times New Roman"/>
          <w:b/>
          <w:color w:val="auto"/>
          <w:lang w:val="mk-MK"/>
        </w:rPr>
        <w:t>Приоритетот 6: Дигитализација на</w:t>
      </w:r>
      <w:r>
        <w:rPr>
          <w:rFonts w:ascii="Times New Roman" w:hAnsi="Times New Roman" w:cs="Times New Roman"/>
          <w:b/>
          <w:color w:val="auto"/>
          <w:lang w:val="mk-MK"/>
        </w:rPr>
        <w:t xml:space="preserve"> јавните сервиси и служби и слободен пристап до информации на граѓаните за нивното функционирање</w:t>
      </w:r>
      <w:r>
        <w:rPr>
          <w:rFonts w:ascii="Times New Roman" w:hAnsi="Times New Roman" w:cs="Times New Roman"/>
          <w:color w:val="auto"/>
          <w:lang w:val="mk-MK"/>
        </w:rPr>
        <w:t>. Овој приоритет се фокусира на висока модернизација на јавната администрација преку воведување напредни ИКТ решенија. Дигитализацијата овде се дефинира како ср</w:t>
      </w:r>
      <w:r>
        <w:rPr>
          <w:rFonts w:ascii="Times New Roman" w:hAnsi="Times New Roman" w:cs="Times New Roman"/>
          <w:color w:val="auto"/>
          <w:lang w:val="mk-MK"/>
        </w:rPr>
        <w:t>едство за транзиција кон општество засновано на знаење во поглед на управувањето и целосна дигитализација на јавните услуги.</w:t>
      </w:r>
    </w:p>
    <w:p w14:paraId="3D06FBAA" w14:textId="77777777" w:rsidR="00FE200F" w:rsidRDefault="00E77CAF">
      <w:pPr>
        <w:pStyle w:val="Heading4"/>
        <w:spacing w:before="240"/>
        <w:jc w:val="both"/>
        <w:rPr>
          <w:rFonts w:ascii="Times New Roman" w:hAnsi="Times New Roman" w:cs="Times New Roman"/>
          <w:lang w:val="mk-MK"/>
        </w:rPr>
      </w:pPr>
      <w:r>
        <w:rPr>
          <w:rFonts w:ascii="Times New Roman" w:hAnsi="Times New Roman" w:cs="Times New Roman"/>
          <w:i w:val="0"/>
          <w:color w:val="auto"/>
          <w:lang w:val="mk-MK"/>
        </w:rPr>
        <w:t>Стратешка Област 5.5: Безбедно, сигурно и отпорно општество</w:t>
      </w:r>
    </w:p>
    <w:p w14:paraId="4FF174A9"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Во контекст на националната безбедност, НРС ја нагласува потребата од п</w:t>
      </w:r>
      <w:r>
        <w:rPr>
          <w:rFonts w:ascii="Times New Roman" w:hAnsi="Times New Roman" w:cs="Times New Roman"/>
          <w:color w:val="auto"/>
          <w:lang w:val="mk-MK"/>
        </w:rPr>
        <w:t>роактивен пристап кон новите закани. Стратегијата експлицитно предвидува дека државата има за цел „однапред да ги идентификува и да се справи со можните закани преку изготвување софистицирани системи за рано предупредување, кои користат вештачка интелигенц</w:t>
      </w:r>
      <w:r>
        <w:rPr>
          <w:rFonts w:ascii="Times New Roman" w:hAnsi="Times New Roman" w:cs="Times New Roman"/>
          <w:color w:val="auto"/>
          <w:lang w:val="mk-MK"/>
        </w:rPr>
        <w:t>ија и машинско учење“. Ова укажува на потребата од балансиран пристап кој ги промовира иновациите, но истовремено ги штити граѓаните и институциите од асиметрични сајбер-закани.</w:t>
      </w:r>
    </w:p>
    <w:p w14:paraId="7D15514E" w14:textId="77777777" w:rsidR="00FE200F" w:rsidRDefault="00FE200F">
      <w:pPr>
        <w:spacing w:before="240"/>
        <w:jc w:val="both"/>
        <w:rPr>
          <w:rFonts w:ascii="Times New Roman" w:hAnsi="Times New Roman" w:cs="Times New Roman"/>
          <w:b/>
          <w:color w:val="auto"/>
          <w:lang w:val="en-GB"/>
        </w:rPr>
      </w:pPr>
    </w:p>
    <w:p w14:paraId="35DD1C57" w14:textId="77777777" w:rsidR="00FE200F" w:rsidRDefault="00E77CAF">
      <w:pPr>
        <w:spacing w:before="240"/>
        <w:jc w:val="both"/>
        <w:rPr>
          <w:rFonts w:ascii="Times New Roman" w:hAnsi="Times New Roman" w:cs="Times New Roman"/>
          <w:lang w:val="mk-MK"/>
        </w:rPr>
      </w:pPr>
      <w:r>
        <w:rPr>
          <w:rFonts w:ascii="Times New Roman" w:hAnsi="Times New Roman" w:cs="Times New Roman"/>
          <w:b/>
          <w:color w:val="auto"/>
          <w:lang w:val="mk-MK"/>
        </w:rPr>
        <w:t>Индикатори и цели за дигитална трансформација</w:t>
      </w:r>
    </w:p>
    <w:p w14:paraId="7E950AF2"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НРС поставува амбициозни цели з</w:t>
      </w:r>
      <w:r>
        <w:rPr>
          <w:rFonts w:ascii="Times New Roman" w:hAnsi="Times New Roman" w:cs="Times New Roman"/>
          <w:color w:val="auto"/>
          <w:lang w:val="mk-MK"/>
        </w:rPr>
        <w:t xml:space="preserve">а дигиталната инфраструктура кои се предуслов за развој на ВИ, прикажано во табела 1. Според Националниот оперативен бродбенд план интегриран во НРС, до крајот на 2029 година се предвидува секое домаќинство да има пристап до интернет со брзина од најмалку </w:t>
      </w:r>
      <w:r>
        <w:rPr>
          <w:rFonts w:ascii="Times New Roman" w:hAnsi="Times New Roman" w:cs="Times New Roman"/>
          <w:color w:val="auto"/>
          <w:lang w:val="mk-MK"/>
        </w:rPr>
        <w:t xml:space="preserve">100 Mbps, со можност за надградба на гигабитна брзина. </w:t>
      </w:r>
      <w:r>
        <w:rPr>
          <w:rFonts w:ascii="Times New Roman" w:hAnsi="Times New Roman" w:cs="Times New Roman"/>
          <w:color w:val="auto"/>
          <w:lang w:val="mk-MK"/>
        </w:rPr>
        <w:lastRenderedPageBreak/>
        <w:t>Оваа инфраструктурна основа е критична за имплементација на напредни ВИ решенија кои бараат брз пренос на големи количини податоци.</w:t>
      </w:r>
    </w:p>
    <w:p w14:paraId="36D1E1D9" w14:textId="77777777" w:rsidR="00FE200F" w:rsidRDefault="00E77CAF">
      <w:pPr>
        <w:spacing w:before="240"/>
        <w:jc w:val="both"/>
        <w:rPr>
          <w:rFonts w:ascii="Times New Roman" w:hAnsi="Times New Roman" w:cs="Times New Roman"/>
          <w:lang w:val="mk-MK"/>
        </w:rPr>
      </w:pPr>
      <w:r>
        <w:rPr>
          <w:rFonts w:ascii="Times New Roman" w:hAnsi="Times New Roman" w:cs="Times New Roman"/>
          <w:i/>
          <w:color w:val="auto"/>
          <w:lang w:val="mk-MK"/>
        </w:rPr>
        <w:t>Табела 1: Преглед на клучни ВИ и дигитални приоритети во НРС 2024–204</w:t>
      </w:r>
      <w:r>
        <w:rPr>
          <w:rFonts w:ascii="Times New Roman" w:hAnsi="Times New Roman" w:cs="Times New Roman"/>
          <w:i/>
          <w:color w:val="auto"/>
          <w:lang w:val="mk-MK"/>
        </w:rPr>
        <w:t>4</w:t>
      </w:r>
    </w:p>
    <w:tbl>
      <w:tblPr>
        <w:tblStyle w:val="GridTable5Dark-Accent5"/>
        <w:tblW w:w="9360" w:type="dxa"/>
        <w:shd w:val="clear" w:color="auto" w:fill="DAEEF3"/>
        <w:tblLayout w:type="fixed"/>
        <w:tblLook w:val="04A0" w:firstRow="1" w:lastRow="0" w:firstColumn="1" w:lastColumn="0" w:noHBand="0" w:noVBand="1"/>
      </w:tblPr>
      <w:tblGrid>
        <w:gridCol w:w="2119"/>
        <w:gridCol w:w="3920"/>
        <w:gridCol w:w="3321"/>
      </w:tblGrid>
      <w:tr w:rsidR="00FE200F" w14:paraId="7E374B27" w14:textId="77777777" w:rsidTr="00FE20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9" w:type="dxa"/>
          </w:tcPr>
          <w:p w14:paraId="2CD205F1" w14:textId="77777777" w:rsidR="00FE200F" w:rsidRDefault="00E77CAF">
            <w:pPr>
              <w:rPr>
                <w:rFonts w:ascii="Times New Roman" w:hAnsi="Times New Roman" w:cs="Times New Roman"/>
                <w:lang w:val="mk-MK"/>
              </w:rPr>
            </w:pPr>
            <w:r>
              <w:rPr>
                <w:rFonts w:ascii="Times New Roman" w:hAnsi="Times New Roman" w:cs="Times New Roman"/>
                <w:color w:val="auto"/>
                <w:lang w:val="mk-MK"/>
              </w:rPr>
              <w:t>Стратешка област во НРС</w:t>
            </w:r>
          </w:p>
        </w:tc>
        <w:tc>
          <w:tcPr>
            <w:tcW w:w="3920" w:type="dxa"/>
            <w:tcBorders>
              <w:bottom w:val="nil"/>
            </w:tcBorders>
          </w:tcPr>
          <w:p w14:paraId="103ACCAA" w14:textId="77777777" w:rsidR="00FE200F" w:rsidRDefault="00E77CA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Клучни приоритети и цели поврзани со ВИ и дигитализација</w:t>
            </w:r>
          </w:p>
        </w:tc>
        <w:tc>
          <w:tcPr>
            <w:tcW w:w="3321" w:type="dxa"/>
            <w:tcBorders>
              <w:bottom w:val="nil"/>
            </w:tcBorders>
          </w:tcPr>
          <w:p w14:paraId="3ACA4EA1" w14:textId="77777777" w:rsidR="00FE200F" w:rsidRDefault="00E77CA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Релевантност за Националната ВИ Стратегија</w:t>
            </w:r>
          </w:p>
        </w:tc>
      </w:tr>
      <w:tr w:rsidR="00FE200F" w14:paraId="762B2D28"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9" w:type="dxa"/>
            <w:tcBorders>
              <w:right w:val="nil"/>
            </w:tcBorders>
          </w:tcPr>
          <w:p w14:paraId="2A4B211D" w14:textId="77777777" w:rsidR="00FE200F" w:rsidRDefault="00E77CAF">
            <w:pPr>
              <w:rPr>
                <w:rFonts w:ascii="Times New Roman" w:hAnsi="Times New Roman" w:cs="Times New Roman"/>
                <w:lang w:val="mk-MK"/>
              </w:rPr>
            </w:pPr>
            <w:r>
              <w:rPr>
                <w:rFonts w:ascii="Times New Roman" w:hAnsi="Times New Roman" w:cs="Times New Roman"/>
                <w:color w:val="auto"/>
                <w:lang w:val="mk-MK"/>
              </w:rPr>
              <w:t>5.1 Економија на знаење</w:t>
            </w:r>
          </w:p>
        </w:tc>
        <w:tc>
          <w:tcPr>
            <w:tcW w:w="3920" w:type="dxa"/>
          </w:tcPr>
          <w:p w14:paraId="1F421873"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 ВИ и големи податоци (</w:t>
            </w:r>
            <w:r>
              <w:rPr>
                <w:rFonts w:ascii="Times New Roman" w:hAnsi="Times New Roman" w:cs="Times New Roman"/>
                <w:i/>
                <w:iCs/>
                <w:color w:val="auto"/>
                <w:lang w:val="mk-MK"/>
              </w:rPr>
              <w:t>Big Data)</w:t>
            </w:r>
            <w:r>
              <w:rPr>
                <w:rFonts w:ascii="Times New Roman" w:hAnsi="Times New Roman" w:cs="Times New Roman"/>
                <w:color w:val="auto"/>
                <w:lang w:val="mk-MK"/>
              </w:rPr>
              <w:t xml:space="preserve"> во преден план за економски раст</w:t>
            </w:r>
          </w:p>
          <w:p w14:paraId="45B0AF1F"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 xml:space="preserve">• Зголемување на инвестициите во </w:t>
            </w:r>
            <w:r>
              <w:rPr>
                <w:rFonts w:ascii="Times New Roman" w:hAnsi="Times New Roman" w:cs="Times New Roman"/>
                <w:color w:val="auto"/>
                <w:lang w:val="mk-MK"/>
              </w:rPr>
              <w:t>истражување и развој (од тековни 0,37% БДП)</w:t>
            </w:r>
          </w:p>
          <w:p w14:paraId="263B0CB5"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 Поддршка на стартап екосистемот и ризичен капитал</w:t>
            </w:r>
          </w:p>
        </w:tc>
        <w:tc>
          <w:tcPr>
            <w:tcW w:w="3321" w:type="dxa"/>
          </w:tcPr>
          <w:p w14:paraId="42634A6E"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Дефинирање на економски мерки за поддршка на ВИ стартапи и поттикнување на истражување и развој во приватниот сектор.</w:t>
            </w:r>
          </w:p>
        </w:tc>
      </w:tr>
      <w:tr w:rsidR="00FE200F" w14:paraId="403F56D6" w14:textId="77777777" w:rsidTr="00FE200F">
        <w:tc>
          <w:tcPr>
            <w:cnfStyle w:val="001000000000" w:firstRow="0" w:lastRow="0" w:firstColumn="1" w:lastColumn="0" w:oddVBand="0" w:evenVBand="0" w:oddHBand="0" w:evenHBand="0" w:firstRowFirstColumn="0" w:firstRowLastColumn="0" w:lastRowFirstColumn="0" w:lastRowLastColumn="0"/>
            <w:tcW w:w="2119" w:type="dxa"/>
            <w:tcBorders>
              <w:right w:val="nil"/>
            </w:tcBorders>
          </w:tcPr>
          <w:p w14:paraId="71705782" w14:textId="77777777" w:rsidR="00FE200F" w:rsidRDefault="00E77CAF">
            <w:pPr>
              <w:rPr>
                <w:rFonts w:ascii="Times New Roman" w:hAnsi="Times New Roman" w:cs="Times New Roman"/>
                <w:lang w:val="mk-MK"/>
              </w:rPr>
            </w:pPr>
            <w:r>
              <w:rPr>
                <w:rFonts w:ascii="Times New Roman" w:hAnsi="Times New Roman" w:cs="Times New Roman"/>
                <w:color w:val="auto"/>
                <w:lang w:val="mk-MK"/>
              </w:rPr>
              <w:t>5.3 Демографски развој</w:t>
            </w:r>
          </w:p>
        </w:tc>
        <w:tc>
          <w:tcPr>
            <w:tcW w:w="3920" w:type="dxa"/>
          </w:tcPr>
          <w:p w14:paraId="7DD9F95A"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 xml:space="preserve">• ВИ апликации за </w:t>
            </w:r>
            <w:r>
              <w:rPr>
                <w:rFonts w:ascii="Times New Roman" w:hAnsi="Times New Roman" w:cs="Times New Roman"/>
                <w:color w:val="auto"/>
                <w:lang w:val="mk-MK"/>
              </w:rPr>
              <w:t>ментално здравје и дигитална благосостојба</w:t>
            </w:r>
          </w:p>
          <w:p w14:paraId="2E3FFDE3"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 Предиктивна нега преку аналитика на податоци</w:t>
            </w:r>
          </w:p>
        </w:tc>
        <w:tc>
          <w:tcPr>
            <w:tcW w:w="3321" w:type="dxa"/>
          </w:tcPr>
          <w:p w14:paraId="67FBC19B"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Идентификување на здравството како приоритетен сектор за пилот проекти (</w:t>
            </w:r>
            <w:r>
              <w:rPr>
                <w:rFonts w:ascii="Times New Roman" w:hAnsi="Times New Roman" w:cs="Times New Roman"/>
                <w:i/>
                <w:iCs/>
                <w:color w:val="auto"/>
                <w:lang w:val="mk-MK"/>
              </w:rPr>
              <w:t>Use Cases</w:t>
            </w:r>
            <w:r>
              <w:rPr>
                <w:rFonts w:ascii="Times New Roman" w:hAnsi="Times New Roman" w:cs="Times New Roman"/>
                <w:color w:val="auto"/>
                <w:lang w:val="mk-MK"/>
              </w:rPr>
              <w:t>) со ВИ.</w:t>
            </w:r>
          </w:p>
        </w:tc>
      </w:tr>
      <w:tr w:rsidR="00FE200F" w14:paraId="0EB5D321"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9" w:type="dxa"/>
            <w:tcBorders>
              <w:right w:val="nil"/>
            </w:tcBorders>
          </w:tcPr>
          <w:p w14:paraId="58F32F6D" w14:textId="77777777" w:rsidR="00FE200F" w:rsidRDefault="00E77CAF">
            <w:pPr>
              <w:rPr>
                <w:rFonts w:ascii="Times New Roman" w:hAnsi="Times New Roman" w:cs="Times New Roman"/>
                <w:lang w:val="mk-MK"/>
              </w:rPr>
            </w:pPr>
            <w:r>
              <w:rPr>
                <w:rFonts w:ascii="Times New Roman" w:hAnsi="Times New Roman" w:cs="Times New Roman"/>
                <w:color w:val="auto"/>
                <w:lang w:val="mk-MK"/>
              </w:rPr>
              <w:t>5.4 Добро управување</w:t>
            </w:r>
          </w:p>
        </w:tc>
        <w:tc>
          <w:tcPr>
            <w:tcW w:w="3920" w:type="dxa"/>
          </w:tcPr>
          <w:p w14:paraId="046F40B8"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 xml:space="preserve">• Приоритет 6: Целосна дигитализација на јавните </w:t>
            </w:r>
            <w:r>
              <w:rPr>
                <w:rFonts w:ascii="Times New Roman" w:hAnsi="Times New Roman" w:cs="Times New Roman"/>
                <w:color w:val="auto"/>
                <w:lang w:val="mk-MK"/>
              </w:rPr>
              <w:t>сервиси</w:t>
            </w:r>
          </w:p>
          <w:p w14:paraId="3B127756"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 Транзиција кон е-управување засновано на знаење</w:t>
            </w:r>
          </w:p>
        </w:tc>
        <w:tc>
          <w:tcPr>
            <w:tcW w:w="3321" w:type="dxa"/>
          </w:tcPr>
          <w:p w14:paraId="4E78E353"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Поставување на темелите за ВИ во јавниот сектор (</w:t>
            </w:r>
            <w:r>
              <w:rPr>
                <w:rFonts w:ascii="Times New Roman" w:hAnsi="Times New Roman" w:cs="Times New Roman"/>
                <w:i/>
                <w:iCs/>
                <w:color w:val="auto"/>
                <w:lang w:val="mk-MK"/>
              </w:rPr>
              <w:t>GovTech</w:t>
            </w:r>
            <w:r>
              <w:rPr>
                <w:rFonts w:ascii="Times New Roman" w:hAnsi="Times New Roman" w:cs="Times New Roman"/>
                <w:color w:val="auto"/>
                <w:lang w:val="mk-MK"/>
              </w:rPr>
              <w:t>) преку дигитализирани регистри.</w:t>
            </w:r>
          </w:p>
        </w:tc>
      </w:tr>
      <w:tr w:rsidR="00FE200F" w14:paraId="7EEFD166" w14:textId="77777777" w:rsidTr="00FE200F">
        <w:tc>
          <w:tcPr>
            <w:cnfStyle w:val="001000000000" w:firstRow="0" w:lastRow="0" w:firstColumn="1" w:lastColumn="0" w:oddVBand="0" w:evenVBand="0" w:oddHBand="0" w:evenHBand="0" w:firstRowFirstColumn="0" w:firstRowLastColumn="0" w:lastRowFirstColumn="0" w:lastRowLastColumn="0"/>
            <w:tcW w:w="2119" w:type="dxa"/>
            <w:tcBorders>
              <w:right w:val="nil"/>
            </w:tcBorders>
          </w:tcPr>
          <w:p w14:paraId="707142A5" w14:textId="77777777" w:rsidR="00FE200F" w:rsidRDefault="00E77CAF">
            <w:pPr>
              <w:rPr>
                <w:rFonts w:ascii="Times New Roman" w:hAnsi="Times New Roman" w:cs="Times New Roman"/>
                <w:lang w:val="mk-MK"/>
              </w:rPr>
            </w:pPr>
            <w:r>
              <w:rPr>
                <w:rFonts w:ascii="Times New Roman" w:hAnsi="Times New Roman" w:cs="Times New Roman"/>
                <w:color w:val="auto"/>
                <w:lang w:val="mk-MK"/>
              </w:rPr>
              <w:t>5.5 Безбедно општество</w:t>
            </w:r>
          </w:p>
        </w:tc>
        <w:tc>
          <w:tcPr>
            <w:tcW w:w="3920" w:type="dxa"/>
          </w:tcPr>
          <w:p w14:paraId="4416B3D8"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 Системи за рано предупредување базирани на ВИ и машинско учење</w:t>
            </w:r>
          </w:p>
          <w:p w14:paraId="35FE41B5"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 Интегрална сајбер-</w:t>
            </w:r>
            <w:r>
              <w:rPr>
                <w:rFonts w:ascii="Times New Roman" w:hAnsi="Times New Roman" w:cs="Times New Roman"/>
                <w:color w:val="auto"/>
                <w:lang w:val="mk-MK"/>
              </w:rPr>
              <w:t>безбедност во дигиталниот домен</w:t>
            </w:r>
          </w:p>
        </w:tc>
        <w:tc>
          <w:tcPr>
            <w:tcW w:w="3321" w:type="dxa"/>
          </w:tcPr>
          <w:p w14:paraId="762B873B"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Усогласување на ВИ стратегијата со безбедносните протоколи и сајбер одбраната.</w:t>
            </w:r>
          </w:p>
        </w:tc>
      </w:tr>
      <w:tr w:rsidR="00FE200F" w14:paraId="314D25FF"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9" w:type="dxa"/>
            <w:tcBorders>
              <w:right w:val="nil"/>
            </w:tcBorders>
          </w:tcPr>
          <w:p w14:paraId="514136B5" w14:textId="77777777" w:rsidR="00FE200F" w:rsidRDefault="00E77CAF">
            <w:pPr>
              <w:rPr>
                <w:rFonts w:ascii="Times New Roman" w:hAnsi="Times New Roman" w:cs="Times New Roman"/>
                <w:lang w:val="mk-MK"/>
              </w:rPr>
            </w:pPr>
            <w:r>
              <w:rPr>
                <w:rFonts w:ascii="Times New Roman" w:hAnsi="Times New Roman" w:cs="Times New Roman"/>
                <w:color w:val="auto"/>
                <w:lang w:val="mk-MK"/>
              </w:rPr>
              <w:t>Инфраструктура</w:t>
            </w:r>
          </w:p>
        </w:tc>
        <w:tc>
          <w:tcPr>
            <w:tcW w:w="3920" w:type="dxa"/>
          </w:tcPr>
          <w:p w14:paraId="4DDC92F2"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 100 Mbps бродбенд интернет за сите домаќинства до 2029</w:t>
            </w:r>
          </w:p>
        </w:tc>
        <w:tc>
          <w:tcPr>
            <w:tcW w:w="3321" w:type="dxa"/>
          </w:tcPr>
          <w:p w14:paraId="21FE3BE9"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Дефинирање на инфраструктурните предуслови за национална ВИ мрежа.</w:t>
            </w:r>
          </w:p>
        </w:tc>
      </w:tr>
    </w:tbl>
    <w:p w14:paraId="77B784FF" w14:textId="77777777" w:rsidR="00FE200F" w:rsidRDefault="00FE200F">
      <w:pPr>
        <w:jc w:val="both"/>
        <w:rPr>
          <w:rFonts w:ascii="Times New Roman" w:hAnsi="Times New Roman" w:cs="Times New Roman"/>
          <w:color w:val="auto"/>
          <w:lang w:val="mk-MK"/>
        </w:rPr>
      </w:pPr>
    </w:p>
    <w:p w14:paraId="567610EA" w14:textId="77777777" w:rsidR="00FE200F" w:rsidRDefault="00E77CAF">
      <w:pPr>
        <w:spacing w:before="240"/>
        <w:jc w:val="both"/>
        <w:rPr>
          <w:rFonts w:ascii="Times New Roman" w:hAnsi="Times New Roman" w:cs="Times New Roman"/>
          <w:lang w:val="mk-MK"/>
        </w:rPr>
      </w:pPr>
      <w:r>
        <w:rPr>
          <w:rFonts w:ascii="Times New Roman" w:hAnsi="Times New Roman" w:cs="Times New Roman"/>
          <w:b/>
          <w:color w:val="auto"/>
          <w:lang w:val="mk-MK"/>
        </w:rPr>
        <w:t>Препораки за Стратегијата за употреба на ВИ</w:t>
      </w:r>
    </w:p>
    <w:p w14:paraId="0A73B89A"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Врз основа на длабинската анализа на НРС 2024–2044, Стратегијата за употреба на вештачка интелигенција треба директно да се надоврзе и да ги операционализира следните аспекти:</w:t>
      </w:r>
    </w:p>
    <w:p w14:paraId="147DAC63" w14:textId="77777777" w:rsidR="00FE200F" w:rsidRDefault="00E77CAF">
      <w:pPr>
        <w:pStyle w:val="ListParagraph"/>
        <w:numPr>
          <w:ilvl w:val="0"/>
          <w:numId w:val="6"/>
        </w:numPr>
        <w:jc w:val="both"/>
        <w:rPr>
          <w:rFonts w:ascii="Times New Roman" w:hAnsi="Times New Roman" w:cs="Times New Roman"/>
          <w:lang w:val="mk-MK"/>
        </w:rPr>
      </w:pPr>
      <w:r>
        <w:rPr>
          <w:rFonts w:ascii="Times New Roman" w:hAnsi="Times New Roman" w:cs="Times New Roman"/>
          <w:b/>
          <w:color w:val="auto"/>
          <w:lang w:val="mk-MK"/>
        </w:rPr>
        <w:t xml:space="preserve">Фокус на </w:t>
      </w:r>
      <w:r>
        <w:rPr>
          <w:rFonts w:ascii="Times New Roman" w:hAnsi="Times New Roman" w:cs="Times New Roman"/>
          <w:b/>
          <w:i/>
          <w:iCs/>
          <w:color w:val="auto"/>
          <w:lang w:val="mk-MK"/>
        </w:rPr>
        <w:t>GovTech</w:t>
      </w:r>
      <w:r>
        <w:rPr>
          <w:rFonts w:ascii="Times New Roman" w:hAnsi="Times New Roman" w:cs="Times New Roman"/>
          <w:b/>
          <w:color w:val="auto"/>
          <w:lang w:val="mk-MK"/>
        </w:rPr>
        <w:t xml:space="preserve"> и Е-услуги:</w:t>
      </w:r>
      <w:r>
        <w:rPr>
          <w:rFonts w:ascii="Times New Roman" w:hAnsi="Times New Roman" w:cs="Times New Roman"/>
          <w:color w:val="auto"/>
          <w:lang w:val="mk-MK"/>
        </w:rPr>
        <w:t xml:space="preserve"> Стратегијата за употреба на ВИ мора да го искористи Приоритетот 6 од НРС како основа за воведување на ВИ во јавната администрација. Ова значи дека пред да се имплементираат сложени ВИ алгоритми, стратегијата мора да инсистира на завршување на основната ди</w:t>
      </w:r>
      <w:r>
        <w:rPr>
          <w:rFonts w:ascii="Times New Roman" w:hAnsi="Times New Roman" w:cs="Times New Roman"/>
          <w:color w:val="auto"/>
          <w:lang w:val="mk-MK"/>
        </w:rPr>
        <w:t>гитализација и отворање на податоците (</w:t>
      </w:r>
      <w:r>
        <w:rPr>
          <w:rFonts w:ascii="Times New Roman" w:hAnsi="Times New Roman" w:cs="Times New Roman"/>
          <w:i/>
          <w:iCs/>
          <w:color w:val="auto"/>
          <w:lang w:val="mk-MK"/>
        </w:rPr>
        <w:t>Open Data</w:t>
      </w:r>
      <w:r>
        <w:rPr>
          <w:rFonts w:ascii="Times New Roman" w:hAnsi="Times New Roman" w:cs="Times New Roman"/>
          <w:color w:val="auto"/>
          <w:lang w:val="mk-MK"/>
        </w:rPr>
        <w:t>) од јавните институции.</w:t>
      </w:r>
    </w:p>
    <w:p w14:paraId="344B0D89" w14:textId="77777777" w:rsidR="00FE200F" w:rsidRDefault="00E77CAF">
      <w:pPr>
        <w:pStyle w:val="ListParagraph"/>
        <w:numPr>
          <w:ilvl w:val="0"/>
          <w:numId w:val="6"/>
        </w:numPr>
        <w:jc w:val="both"/>
        <w:rPr>
          <w:rFonts w:ascii="Times New Roman" w:hAnsi="Times New Roman" w:cs="Times New Roman"/>
          <w:lang w:val="mk-MK"/>
        </w:rPr>
      </w:pPr>
      <w:r>
        <w:rPr>
          <w:rFonts w:ascii="Times New Roman" w:hAnsi="Times New Roman" w:cs="Times New Roman"/>
          <w:b/>
          <w:color w:val="auto"/>
          <w:lang w:val="mk-MK"/>
        </w:rPr>
        <w:t>Стимулирање на истражување и развој во приватниот сектор:</w:t>
      </w:r>
      <w:r>
        <w:rPr>
          <w:rFonts w:ascii="Times New Roman" w:hAnsi="Times New Roman" w:cs="Times New Roman"/>
          <w:color w:val="auto"/>
          <w:lang w:val="mk-MK"/>
        </w:rPr>
        <w:t xml:space="preserve"> Бидејќи НРС нотира критично ниско ниво на инвестиции во истражување и развој (0,37% од БДП), </w:t>
      </w:r>
      <w:r>
        <w:rPr>
          <w:rFonts w:ascii="Times New Roman" w:hAnsi="Times New Roman" w:cs="Times New Roman"/>
          <w:color w:val="auto"/>
          <w:lang w:val="mk-MK"/>
        </w:rPr>
        <w:lastRenderedPageBreak/>
        <w:t>Стратегијата за употреба на ВИ т</w:t>
      </w:r>
      <w:r>
        <w:rPr>
          <w:rFonts w:ascii="Times New Roman" w:hAnsi="Times New Roman" w:cs="Times New Roman"/>
          <w:color w:val="auto"/>
          <w:lang w:val="mk-MK"/>
        </w:rPr>
        <w:t xml:space="preserve">реба да предложи конкретни финансиски инструменти (даночни олеснувања, иновациски ваучери, пристап до </w:t>
      </w:r>
      <w:r>
        <w:rPr>
          <w:rFonts w:ascii="Times New Roman" w:hAnsi="Times New Roman" w:cs="Times New Roman"/>
          <w:i/>
          <w:iCs/>
          <w:color w:val="auto"/>
          <w:lang w:val="mk-MK"/>
        </w:rPr>
        <w:t>VC</w:t>
      </w:r>
      <w:r>
        <w:rPr>
          <w:rFonts w:ascii="Times New Roman" w:hAnsi="Times New Roman" w:cs="Times New Roman"/>
          <w:color w:val="auto"/>
          <w:lang w:val="mk-MK"/>
        </w:rPr>
        <w:t xml:space="preserve"> капитал) специфично наменети за ВИ стартапи и компании кои развиваат сопствени ВИ решенија.</w:t>
      </w:r>
    </w:p>
    <w:p w14:paraId="3E5303C1" w14:textId="77777777" w:rsidR="00FE200F" w:rsidRDefault="00E77CAF">
      <w:pPr>
        <w:pStyle w:val="ListParagraph"/>
        <w:numPr>
          <w:ilvl w:val="0"/>
          <w:numId w:val="6"/>
        </w:numPr>
        <w:jc w:val="both"/>
        <w:rPr>
          <w:rFonts w:ascii="Times New Roman" w:hAnsi="Times New Roman" w:cs="Times New Roman"/>
          <w:lang w:val="mk-MK"/>
        </w:rPr>
      </w:pPr>
      <w:r>
        <w:rPr>
          <w:rFonts w:ascii="Times New Roman" w:hAnsi="Times New Roman" w:cs="Times New Roman"/>
          <w:b/>
          <w:color w:val="auto"/>
          <w:lang w:val="mk-MK"/>
        </w:rPr>
        <w:t>Здравството</w:t>
      </w:r>
      <w:r>
        <w:rPr>
          <w:rFonts w:ascii="Times New Roman" w:hAnsi="Times New Roman" w:cs="Times New Roman"/>
          <w:b/>
          <w:color w:val="auto"/>
        </w:rPr>
        <w:t xml:space="preserve"> </w:t>
      </w:r>
      <w:r>
        <w:rPr>
          <w:rFonts w:ascii="Times New Roman" w:hAnsi="Times New Roman" w:cs="Times New Roman"/>
          <w:b/>
          <w:color w:val="auto"/>
          <w:lang w:val="mk-MK"/>
        </w:rPr>
        <w:t>како пилот-сектори:</w:t>
      </w:r>
      <w:r>
        <w:rPr>
          <w:rFonts w:ascii="Times New Roman" w:hAnsi="Times New Roman" w:cs="Times New Roman"/>
          <w:color w:val="auto"/>
          <w:lang w:val="mk-MK"/>
        </w:rPr>
        <w:t xml:space="preserve"> НРС експлицитно ги споменув</w:t>
      </w:r>
      <w:r>
        <w:rPr>
          <w:rFonts w:ascii="Times New Roman" w:hAnsi="Times New Roman" w:cs="Times New Roman"/>
          <w:color w:val="auto"/>
          <w:lang w:val="mk-MK"/>
        </w:rPr>
        <w:t>а ВИ технологиите во контекст на предиктивна здравствена нега. ВИ стратегијата треба да го дефинира овој  сектор како приоритетна области за првите национални пилот-проекти (</w:t>
      </w:r>
      <w:r>
        <w:rPr>
          <w:rFonts w:ascii="Times New Roman" w:hAnsi="Times New Roman" w:cs="Times New Roman"/>
          <w:i/>
          <w:iCs/>
          <w:color w:val="auto"/>
          <w:lang w:val="mk-MK"/>
        </w:rPr>
        <w:t>Use Cases</w:t>
      </w:r>
      <w:r>
        <w:rPr>
          <w:rFonts w:ascii="Times New Roman" w:hAnsi="Times New Roman" w:cs="Times New Roman"/>
          <w:color w:val="auto"/>
          <w:lang w:val="mk-MK"/>
        </w:rPr>
        <w:t>), со што ќе се демонстрира брза и видлива вредност за граѓаните.</w:t>
      </w:r>
    </w:p>
    <w:p w14:paraId="11C3EBCB" w14:textId="77777777" w:rsidR="00FE200F" w:rsidRDefault="00E77CAF">
      <w:pPr>
        <w:pStyle w:val="ListParagraph"/>
        <w:numPr>
          <w:ilvl w:val="0"/>
          <w:numId w:val="6"/>
        </w:numPr>
        <w:jc w:val="both"/>
        <w:rPr>
          <w:rFonts w:ascii="Times New Roman" w:hAnsi="Times New Roman" w:cs="Times New Roman"/>
          <w:lang w:val="mk-MK"/>
        </w:rPr>
      </w:pPr>
      <w:r>
        <w:rPr>
          <w:rFonts w:ascii="Times New Roman" w:hAnsi="Times New Roman" w:cs="Times New Roman"/>
          <w:b/>
          <w:color w:val="auto"/>
          <w:lang w:val="mk-MK"/>
        </w:rPr>
        <w:t>Инфраст</w:t>
      </w:r>
      <w:r>
        <w:rPr>
          <w:rFonts w:ascii="Times New Roman" w:hAnsi="Times New Roman" w:cs="Times New Roman"/>
          <w:b/>
          <w:color w:val="auto"/>
          <w:lang w:val="mk-MK"/>
        </w:rPr>
        <w:t>руктурна подготвеност:</w:t>
      </w:r>
      <w:r>
        <w:rPr>
          <w:rFonts w:ascii="Times New Roman" w:hAnsi="Times New Roman" w:cs="Times New Roman"/>
          <w:color w:val="auto"/>
          <w:lang w:val="mk-MK"/>
        </w:rPr>
        <w:t xml:space="preserve"> Стратегијата за употреба на ВИ мора да се усогласи со бродбенд таргетите на НРС за 2029 година, но и да отиде чекор подалеку преку дефинирање на потребите за национална компјутерска моќ (</w:t>
      </w:r>
      <w:r>
        <w:rPr>
          <w:rFonts w:ascii="Times New Roman" w:hAnsi="Times New Roman" w:cs="Times New Roman"/>
          <w:i/>
          <w:iCs/>
          <w:color w:val="auto"/>
          <w:lang w:val="mk-MK"/>
        </w:rPr>
        <w:t>HPC</w:t>
      </w:r>
      <w:r>
        <w:rPr>
          <w:rFonts w:ascii="Times New Roman" w:hAnsi="Times New Roman" w:cs="Times New Roman"/>
          <w:color w:val="auto"/>
          <w:lang w:val="mk-MK"/>
        </w:rPr>
        <w:t xml:space="preserve"> инфраструктура) и капацитети во облак неоп</w:t>
      </w:r>
      <w:r>
        <w:rPr>
          <w:rFonts w:ascii="Times New Roman" w:hAnsi="Times New Roman" w:cs="Times New Roman"/>
          <w:color w:val="auto"/>
          <w:lang w:val="mk-MK"/>
        </w:rPr>
        <w:t>ходни за  употреба на слободни модели за ВИ, како и за тренирање на локални модели за ВИ.</w:t>
      </w:r>
    </w:p>
    <w:p w14:paraId="243974B5" w14:textId="77777777" w:rsidR="00FE200F" w:rsidRDefault="00FE200F">
      <w:pPr>
        <w:pStyle w:val="Heading3"/>
        <w:jc w:val="both"/>
        <w:rPr>
          <w:rFonts w:ascii="Times New Roman" w:hAnsi="Times New Roman" w:cs="Times New Roman"/>
          <w:color w:val="auto"/>
          <w:sz w:val="28"/>
          <w:lang w:val="mk-MK"/>
        </w:rPr>
      </w:pPr>
    </w:p>
    <w:p w14:paraId="4B3F12CE" w14:textId="77777777" w:rsidR="00FE200F" w:rsidRDefault="00E77CAF">
      <w:pPr>
        <w:pStyle w:val="Heading3"/>
        <w:jc w:val="both"/>
        <w:rPr>
          <w:rFonts w:ascii="Times New Roman" w:hAnsi="Times New Roman" w:cs="Times New Roman"/>
          <w:lang w:val="mk-MK"/>
        </w:rPr>
      </w:pPr>
      <w:bookmarkStart w:id="17" w:name="_Toc240630034"/>
      <w:bookmarkStart w:id="18" w:name="_Toc243907977"/>
      <w:r>
        <w:rPr>
          <w:rFonts w:ascii="Times New Roman" w:hAnsi="Times New Roman" w:cs="Times New Roman"/>
          <w:color w:val="auto"/>
          <w:szCs w:val="24"/>
          <w:lang w:val="mk-MK"/>
        </w:rPr>
        <w:t>2.2 СМАРТ/МК 2030 – Стратегија за развој на ИКТ</w:t>
      </w:r>
      <w:bookmarkEnd w:id="17"/>
      <w:bookmarkEnd w:id="18"/>
    </w:p>
    <w:p w14:paraId="4DC13483"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СМАРТ/МК 2030 е примарниот оперативен документ за дигитална трансформација на Република Северна Македонија. Стратегиј</w:t>
      </w:r>
      <w:r>
        <w:rPr>
          <w:rFonts w:ascii="Times New Roman" w:hAnsi="Times New Roman" w:cs="Times New Roman"/>
          <w:color w:val="auto"/>
          <w:lang w:val="mk-MK"/>
        </w:rPr>
        <w:t>ата е изградена над четири главни столба кои претставуваат основа за развојот на ВИ: дигитална инфраструктура, дигитални компетенции, е-владеење и дигитализација на бизнисите. Целта на оваа стратегија е да ја позиционира РСМ како водечка земја на Западен Б</w:t>
      </w:r>
      <w:r>
        <w:rPr>
          <w:rFonts w:ascii="Times New Roman" w:hAnsi="Times New Roman" w:cs="Times New Roman"/>
          <w:color w:val="auto"/>
          <w:lang w:val="mk-MK"/>
        </w:rPr>
        <w:t>алкан според Индексот за Дигитална Економија и Општество ДЕСИ (</w:t>
      </w:r>
      <w:r>
        <w:rPr>
          <w:rFonts w:ascii="Times New Roman" w:hAnsi="Times New Roman" w:cs="Times New Roman"/>
          <w:i/>
          <w:iCs/>
          <w:color w:val="auto"/>
          <w:lang w:val="mk-MK"/>
        </w:rPr>
        <w:t>DESI</w:t>
      </w:r>
      <w:r>
        <w:rPr>
          <w:rFonts w:ascii="Times New Roman" w:hAnsi="Times New Roman" w:cs="Times New Roman"/>
          <w:color w:val="auto"/>
          <w:lang w:val="mk-MK"/>
        </w:rPr>
        <w:t>).</w:t>
      </w:r>
    </w:p>
    <w:p w14:paraId="080870F7"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Во контекст на вештачката интелигенција, СМАРТ/МК 2030 експлицитно ја препознава ВИ како клучна алатка за иновации, но истовремено нагласува дека „останува потребата за сеопфатна и намен</w:t>
      </w:r>
      <w:r>
        <w:rPr>
          <w:rFonts w:ascii="Times New Roman" w:hAnsi="Times New Roman" w:cs="Times New Roman"/>
          <w:color w:val="auto"/>
          <w:lang w:val="mk-MK"/>
        </w:rPr>
        <w:t>ска ВИ стратегија која ќе ги адресира сите аспекти“.</w:t>
      </w:r>
    </w:p>
    <w:p w14:paraId="46E2725F" w14:textId="77777777" w:rsidR="00FE200F" w:rsidRDefault="00E77CAF">
      <w:pPr>
        <w:pStyle w:val="Heading4"/>
        <w:jc w:val="both"/>
        <w:rPr>
          <w:rFonts w:ascii="Times New Roman" w:hAnsi="Times New Roman" w:cs="Times New Roman"/>
          <w:lang w:val="mk-MK"/>
        </w:rPr>
      </w:pPr>
      <w:r>
        <w:rPr>
          <w:rFonts w:ascii="Times New Roman" w:hAnsi="Times New Roman" w:cs="Times New Roman"/>
          <w:color w:val="auto"/>
          <w:lang w:val="mk-MK"/>
        </w:rPr>
        <w:t>Столб 2: Дигитални компетенции и инклузивност</w:t>
      </w:r>
    </w:p>
    <w:p w14:paraId="784A7AA7"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Стратегијата предвидува континуирано усовршување на вработените во ИТ секторите во јавната администрација во области како што се ВИ, ИоТ,  технологии во обла</w:t>
      </w:r>
      <w:r>
        <w:rPr>
          <w:rFonts w:ascii="Times New Roman" w:hAnsi="Times New Roman" w:cs="Times New Roman"/>
          <w:color w:val="auto"/>
          <w:lang w:val="mk-MK"/>
        </w:rPr>
        <w:t>к, големи податоци и роботика. Поставени се амбициозни таргети: најмалку 70% од населението да поседува основни дигитални вештини и најмалку 1.000 дипломирани студенти во областа на ИКТ на годишно ниво до 2030 година.</w:t>
      </w:r>
    </w:p>
    <w:p w14:paraId="5C505832" w14:textId="77777777" w:rsidR="00FE200F" w:rsidRDefault="00E77CAF">
      <w:pPr>
        <w:pStyle w:val="Heading4"/>
        <w:jc w:val="both"/>
        <w:rPr>
          <w:rFonts w:ascii="Times New Roman" w:hAnsi="Times New Roman" w:cs="Times New Roman"/>
          <w:lang w:val="mk-MK"/>
        </w:rPr>
      </w:pPr>
      <w:r>
        <w:rPr>
          <w:rFonts w:ascii="Times New Roman" w:hAnsi="Times New Roman" w:cs="Times New Roman"/>
          <w:color w:val="auto"/>
          <w:lang w:val="mk-MK"/>
        </w:rPr>
        <w:t>Столб 3: Е-Владеење</w:t>
      </w:r>
    </w:p>
    <w:p w14:paraId="115455DA"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Во овој столб, фок</w:t>
      </w:r>
      <w:r>
        <w:rPr>
          <w:rFonts w:ascii="Times New Roman" w:hAnsi="Times New Roman" w:cs="Times New Roman"/>
          <w:color w:val="auto"/>
          <w:lang w:val="mk-MK"/>
        </w:rPr>
        <w:t>усот е на воспоставување целосно дигитална околина и дигитализирање на 100% од клучните услуги за граѓаните и бизнис секторот. Ова вклучува надградба на порталот за електронски услуги со примена на нови технологии и ВИ (како чет-ботови и виртуелна поддршка</w:t>
      </w:r>
      <w:r>
        <w:rPr>
          <w:rFonts w:ascii="Times New Roman" w:hAnsi="Times New Roman" w:cs="Times New Roman"/>
          <w:color w:val="auto"/>
          <w:lang w:val="mk-MK"/>
        </w:rPr>
        <w:t>), како и воведување на дигитален паричник усогласен со Дигиталниот идентитет на ЕУ.</w:t>
      </w:r>
    </w:p>
    <w:p w14:paraId="6B6E3DF2" w14:textId="77777777" w:rsidR="00FE200F" w:rsidRDefault="00E77CAF">
      <w:pPr>
        <w:pStyle w:val="Heading4"/>
        <w:jc w:val="both"/>
        <w:rPr>
          <w:rFonts w:ascii="Times New Roman" w:hAnsi="Times New Roman" w:cs="Times New Roman"/>
          <w:lang w:val="mk-MK"/>
        </w:rPr>
      </w:pPr>
      <w:r>
        <w:rPr>
          <w:rFonts w:ascii="Times New Roman" w:hAnsi="Times New Roman" w:cs="Times New Roman"/>
          <w:color w:val="auto"/>
          <w:lang w:val="mk-MK"/>
        </w:rPr>
        <w:t>Столб 4: Бизниси (Дигитализација на МСП и ИКТ сектор)</w:t>
      </w:r>
    </w:p>
    <w:p w14:paraId="7F4B5E21"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Овој столб содржи најдиректни насоки за ВИ. Посебната цел 3 е целосно посветена на „Поддршка на развојот и примена на</w:t>
      </w:r>
      <w:r>
        <w:rPr>
          <w:rFonts w:ascii="Times New Roman" w:hAnsi="Times New Roman" w:cs="Times New Roman"/>
          <w:color w:val="auto"/>
          <w:lang w:val="mk-MK"/>
        </w:rPr>
        <w:t xml:space="preserve"> ВИ како клучна алатка за иновации во стартап и технолошки сектор“. Стратегијата дефинира шест приоритетни области за истражување и примена на ВИ:</w:t>
      </w:r>
    </w:p>
    <w:p w14:paraId="09670384" w14:textId="77777777" w:rsidR="00FE200F" w:rsidRDefault="00E77CAF">
      <w:pPr>
        <w:pStyle w:val="ListNumber"/>
        <w:numPr>
          <w:ilvl w:val="0"/>
          <w:numId w:val="17"/>
        </w:numPr>
        <w:tabs>
          <w:tab w:val="left" w:pos="720"/>
        </w:tabs>
        <w:jc w:val="both"/>
        <w:rPr>
          <w:rFonts w:ascii="Times New Roman" w:hAnsi="Times New Roman" w:cs="Times New Roman"/>
          <w:lang w:val="mk-MK"/>
        </w:rPr>
      </w:pPr>
      <w:r>
        <w:rPr>
          <w:rFonts w:ascii="Times New Roman" w:hAnsi="Times New Roman" w:cs="Times New Roman"/>
          <w:color w:val="auto"/>
          <w:lang w:val="mk-MK"/>
        </w:rPr>
        <w:lastRenderedPageBreak/>
        <w:t>Развој на индустриски роботи и роботи кои обезбедуваат услуги и нивен пласман на глобалниот маркет</w:t>
      </w:r>
    </w:p>
    <w:p w14:paraId="4FFE853E" w14:textId="77777777" w:rsidR="00FE200F" w:rsidRDefault="00E77CAF">
      <w:pPr>
        <w:pStyle w:val="ListNumber"/>
        <w:numPr>
          <w:ilvl w:val="0"/>
          <w:numId w:val="17"/>
        </w:numPr>
        <w:tabs>
          <w:tab w:val="left" w:pos="720"/>
        </w:tabs>
        <w:jc w:val="both"/>
        <w:rPr>
          <w:rFonts w:ascii="Times New Roman" w:hAnsi="Times New Roman" w:cs="Times New Roman"/>
          <w:lang w:val="mk-MK"/>
        </w:rPr>
      </w:pPr>
      <w:r>
        <w:rPr>
          <w:rFonts w:ascii="Times New Roman" w:hAnsi="Times New Roman" w:cs="Times New Roman"/>
          <w:color w:val="auto"/>
          <w:lang w:val="mk-MK"/>
        </w:rPr>
        <w:t>Истражувањ</w:t>
      </w:r>
      <w:r>
        <w:rPr>
          <w:rFonts w:ascii="Times New Roman" w:hAnsi="Times New Roman" w:cs="Times New Roman"/>
          <w:color w:val="auto"/>
          <w:lang w:val="mk-MK"/>
        </w:rPr>
        <w:t>е на решенија за паметни системи во препознавање шаблони</w:t>
      </w:r>
    </w:p>
    <w:p w14:paraId="724A6E64" w14:textId="77777777" w:rsidR="00FE200F" w:rsidRDefault="00E77CAF">
      <w:pPr>
        <w:pStyle w:val="ListNumber"/>
        <w:numPr>
          <w:ilvl w:val="0"/>
          <w:numId w:val="17"/>
        </w:numPr>
        <w:tabs>
          <w:tab w:val="left" w:pos="720"/>
        </w:tabs>
        <w:jc w:val="both"/>
        <w:rPr>
          <w:rFonts w:ascii="Times New Roman" w:hAnsi="Times New Roman" w:cs="Times New Roman"/>
          <w:lang w:val="mk-MK"/>
        </w:rPr>
      </w:pPr>
      <w:r>
        <w:rPr>
          <w:rFonts w:ascii="Times New Roman" w:hAnsi="Times New Roman" w:cs="Times New Roman"/>
          <w:color w:val="auto"/>
          <w:lang w:val="mk-MK"/>
        </w:rPr>
        <w:t>Истражувања на примена на ВИ во испораката на електронски услуги</w:t>
      </w:r>
    </w:p>
    <w:p w14:paraId="2C79EE7C" w14:textId="77777777" w:rsidR="00FE200F" w:rsidRDefault="00E77CAF">
      <w:pPr>
        <w:pStyle w:val="ListNumber"/>
        <w:numPr>
          <w:ilvl w:val="0"/>
          <w:numId w:val="17"/>
        </w:numPr>
        <w:tabs>
          <w:tab w:val="left" w:pos="720"/>
        </w:tabs>
        <w:jc w:val="both"/>
        <w:rPr>
          <w:rFonts w:ascii="Times New Roman" w:hAnsi="Times New Roman" w:cs="Times New Roman"/>
          <w:lang w:val="mk-MK"/>
        </w:rPr>
      </w:pPr>
      <w:r>
        <w:rPr>
          <w:rFonts w:ascii="Times New Roman" w:hAnsi="Times New Roman" w:cs="Times New Roman"/>
          <w:color w:val="auto"/>
          <w:lang w:val="mk-MK"/>
        </w:rPr>
        <w:t>Истражувања на развој на ВИ решенија за преводи</w:t>
      </w:r>
    </w:p>
    <w:p w14:paraId="5CBEE423" w14:textId="77777777" w:rsidR="00FE200F" w:rsidRDefault="00E77CAF">
      <w:pPr>
        <w:pStyle w:val="ListNumber"/>
        <w:numPr>
          <w:ilvl w:val="0"/>
          <w:numId w:val="17"/>
        </w:numPr>
        <w:tabs>
          <w:tab w:val="left" w:pos="720"/>
        </w:tabs>
        <w:jc w:val="both"/>
        <w:rPr>
          <w:rFonts w:ascii="Times New Roman" w:hAnsi="Times New Roman" w:cs="Times New Roman"/>
          <w:lang w:val="mk-MK"/>
        </w:rPr>
      </w:pPr>
      <w:r>
        <w:rPr>
          <w:rFonts w:ascii="Times New Roman" w:hAnsi="Times New Roman" w:cs="Times New Roman"/>
          <w:color w:val="auto"/>
          <w:lang w:val="mk-MK"/>
        </w:rPr>
        <w:t>Развој на ВИ решенија во сообраќајот и здравството</w:t>
      </w:r>
    </w:p>
    <w:p w14:paraId="2242EB6F" w14:textId="77777777" w:rsidR="00FE200F" w:rsidRDefault="00E77CAF">
      <w:pPr>
        <w:pStyle w:val="ListNumber"/>
        <w:numPr>
          <w:ilvl w:val="0"/>
          <w:numId w:val="17"/>
        </w:numPr>
        <w:tabs>
          <w:tab w:val="left" w:pos="720"/>
        </w:tabs>
        <w:jc w:val="both"/>
        <w:rPr>
          <w:rFonts w:ascii="Times New Roman" w:hAnsi="Times New Roman" w:cs="Times New Roman"/>
          <w:lang w:val="mk-MK"/>
        </w:rPr>
      </w:pPr>
      <w:r>
        <w:rPr>
          <w:rFonts w:ascii="Times New Roman" w:hAnsi="Times New Roman" w:cs="Times New Roman"/>
          <w:color w:val="auto"/>
          <w:lang w:val="mk-MK"/>
        </w:rPr>
        <w:t xml:space="preserve">Примена на ВИ за „Смарт </w:t>
      </w:r>
      <w:r>
        <w:rPr>
          <w:rFonts w:ascii="Times New Roman" w:hAnsi="Times New Roman" w:cs="Times New Roman"/>
          <w:color w:val="auto"/>
          <w:lang w:val="mk-MK"/>
        </w:rPr>
        <w:t>производство“, „Смарт земјоделство“, „Смарт логистика“ и поддршка за „Смарт претпријатија“</w:t>
      </w:r>
    </w:p>
    <w:p w14:paraId="7C4EB732"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Таргетите за бизнис секторот до 2030 година вклучуваат: 75% од компаниите во државата да користат облак, вештачка интелигенција или големи податоци, и повеќе од 70% </w:t>
      </w:r>
      <w:r>
        <w:rPr>
          <w:rFonts w:ascii="Times New Roman" w:hAnsi="Times New Roman" w:cs="Times New Roman"/>
          <w:color w:val="auto"/>
          <w:lang w:val="mk-MK"/>
        </w:rPr>
        <w:t>од МСП да достигнат најмалку основно ниво на дигитална зрелост</w:t>
      </w:r>
      <w:r>
        <w:rPr>
          <w:rFonts w:ascii="Times New Roman" w:hAnsi="Times New Roman" w:cs="Times New Roman"/>
          <w:color w:val="auto"/>
        </w:rPr>
        <w:t xml:space="preserve">, </w:t>
      </w:r>
      <w:r>
        <w:rPr>
          <w:rFonts w:ascii="Times New Roman" w:hAnsi="Times New Roman" w:cs="Times New Roman"/>
          <w:color w:val="auto"/>
          <w:lang w:val="mk-MK"/>
        </w:rPr>
        <w:t>прикажано во Табела 2.</w:t>
      </w:r>
    </w:p>
    <w:p w14:paraId="72D6EA01" w14:textId="77777777" w:rsidR="00FE200F" w:rsidRDefault="00E77CAF">
      <w:pPr>
        <w:jc w:val="both"/>
        <w:rPr>
          <w:rFonts w:ascii="Times New Roman" w:hAnsi="Times New Roman" w:cs="Times New Roman"/>
          <w:lang w:val="mk-MK"/>
        </w:rPr>
      </w:pPr>
      <w:r>
        <w:rPr>
          <w:rFonts w:ascii="Times New Roman" w:hAnsi="Times New Roman" w:cs="Times New Roman"/>
          <w:i/>
          <w:color w:val="auto"/>
          <w:sz w:val="20"/>
          <w:lang w:val="mk-MK"/>
        </w:rPr>
        <w:t>Табела 2: Релевантност на СМАРТ/МК 20</w:t>
      </w:r>
      <w:r>
        <w:rPr>
          <w:rFonts w:ascii="Times New Roman" w:hAnsi="Times New Roman" w:cs="Times New Roman"/>
          <w:i/>
          <w:color w:val="auto"/>
          <w:sz w:val="20"/>
          <w:szCs w:val="20"/>
          <w:lang w:val="mk-MK"/>
        </w:rPr>
        <w:t xml:space="preserve">30 за </w:t>
      </w:r>
      <w:r>
        <w:rPr>
          <w:rFonts w:ascii="Times New Roman" w:hAnsi="Times New Roman" w:cs="Times New Roman"/>
          <w:i/>
          <w:iCs/>
          <w:color w:val="auto"/>
          <w:sz w:val="20"/>
          <w:szCs w:val="20"/>
          <w:lang w:val="mk-MK"/>
        </w:rPr>
        <w:t>Стратегијата за употреба на ВИ</w:t>
      </w:r>
    </w:p>
    <w:tbl>
      <w:tblPr>
        <w:tblStyle w:val="GridTable5Dark-Accent5"/>
        <w:tblW w:w="9112" w:type="dxa"/>
        <w:shd w:val="clear" w:color="auto" w:fill="DAEEF3"/>
        <w:tblLayout w:type="fixed"/>
        <w:tblLook w:val="04A0" w:firstRow="1" w:lastRow="0" w:firstColumn="1" w:lastColumn="0" w:noHBand="0" w:noVBand="1"/>
      </w:tblPr>
      <w:tblGrid>
        <w:gridCol w:w="3037"/>
        <w:gridCol w:w="3037"/>
        <w:gridCol w:w="3038"/>
      </w:tblGrid>
      <w:tr w:rsidR="00FE200F" w14:paraId="2A64A9B0" w14:textId="77777777" w:rsidTr="00FE20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7" w:type="dxa"/>
          </w:tcPr>
          <w:p w14:paraId="39DC1755" w14:textId="77777777" w:rsidR="00FE200F" w:rsidRDefault="00E77CAF">
            <w:pPr>
              <w:rPr>
                <w:rFonts w:ascii="Times New Roman" w:hAnsi="Times New Roman" w:cs="Times New Roman"/>
                <w:lang w:val="mk-MK"/>
              </w:rPr>
            </w:pPr>
            <w:r>
              <w:rPr>
                <w:rFonts w:ascii="Times New Roman" w:hAnsi="Times New Roman" w:cs="Times New Roman"/>
                <w:color w:val="auto"/>
                <w:sz w:val="20"/>
                <w:lang w:val="mk-MK"/>
              </w:rPr>
              <w:t>Столб во СМАРТ/МК 2030</w:t>
            </w:r>
          </w:p>
        </w:tc>
        <w:tc>
          <w:tcPr>
            <w:tcW w:w="3037" w:type="dxa"/>
            <w:tcBorders>
              <w:bottom w:val="nil"/>
            </w:tcBorders>
          </w:tcPr>
          <w:p w14:paraId="4B77F22B" w14:textId="77777777" w:rsidR="00FE200F" w:rsidRDefault="00E77CA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lang w:val="mk-MK"/>
              </w:rPr>
              <w:t>ВИ Приоритети и Таргети</w:t>
            </w:r>
          </w:p>
        </w:tc>
        <w:tc>
          <w:tcPr>
            <w:tcW w:w="3038" w:type="dxa"/>
            <w:tcBorders>
              <w:bottom w:val="nil"/>
            </w:tcBorders>
          </w:tcPr>
          <w:p w14:paraId="539230BD" w14:textId="77777777" w:rsidR="00FE200F" w:rsidRDefault="00E77CA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lang w:val="mk-MK"/>
              </w:rPr>
              <w:t>Релевантност за ВИ Стратегијата</w:t>
            </w:r>
          </w:p>
        </w:tc>
      </w:tr>
      <w:tr w:rsidR="00FE200F" w14:paraId="16068417"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7" w:type="dxa"/>
            <w:tcBorders>
              <w:right w:val="nil"/>
            </w:tcBorders>
          </w:tcPr>
          <w:p w14:paraId="72CE9568" w14:textId="77777777" w:rsidR="00FE200F" w:rsidRDefault="00E77CAF">
            <w:pPr>
              <w:rPr>
                <w:rFonts w:ascii="Times New Roman" w:hAnsi="Times New Roman" w:cs="Times New Roman"/>
                <w:lang w:val="mk-MK"/>
              </w:rPr>
            </w:pPr>
            <w:r>
              <w:rPr>
                <w:rFonts w:ascii="Times New Roman" w:hAnsi="Times New Roman" w:cs="Times New Roman"/>
                <w:color w:val="auto"/>
                <w:sz w:val="20"/>
                <w:lang w:val="mk-MK"/>
              </w:rPr>
              <w:t xml:space="preserve">Столб 2: </w:t>
            </w:r>
            <w:r>
              <w:rPr>
                <w:rFonts w:ascii="Times New Roman" w:hAnsi="Times New Roman" w:cs="Times New Roman"/>
                <w:color w:val="auto"/>
                <w:sz w:val="20"/>
                <w:lang w:val="mk-MK"/>
              </w:rPr>
              <w:t>Дигитални компетенции</w:t>
            </w:r>
          </w:p>
        </w:tc>
        <w:tc>
          <w:tcPr>
            <w:tcW w:w="3037" w:type="dxa"/>
          </w:tcPr>
          <w:p w14:paraId="7A46BA21"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lang w:val="mk-MK"/>
              </w:rPr>
              <w:t>Обуки за ВИ и роботика за ИТ кадар во јавен сектор; 1.000 ИКТ дипломци годишно</w:t>
            </w:r>
          </w:p>
        </w:tc>
        <w:tc>
          <w:tcPr>
            <w:tcW w:w="3038" w:type="dxa"/>
          </w:tcPr>
          <w:p w14:paraId="065F6DDE"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lang w:val="mk-MK"/>
              </w:rPr>
              <w:t>Основа за градење на човечки капитал неопходен за развој и имплементација на ВИ</w:t>
            </w:r>
          </w:p>
        </w:tc>
      </w:tr>
      <w:tr w:rsidR="00FE200F" w14:paraId="72C2479D" w14:textId="77777777" w:rsidTr="00FE200F">
        <w:tc>
          <w:tcPr>
            <w:cnfStyle w:val="001000000000" w:firstRow="0" w:lastRow="0" w:firstColumn="1" w:lastColumn="0" w:oddVBand="0" w:evenVBand="0" w:oddHBand="0" w:evenHBand="0" w:firstRowFirstColumn="0" w:firstRowLastColumn="0" w:lastRowFirstColumn="0" w:lastRowLastColumn="0"/>
            <w:tcW w:w="3037" w:type="dxa"/>
            <w:tcBorders>
              <w:right w:val="nil"/>
            </w:tcBorders>
          </w:tcPr>
          <w:p w14:paraId="130620CD" w14:textId="77777777" w:rsidR="00FE200F" w:rsidRDefault="00E77CAF">
            <w:pPr>
              <w:rPr>
                <w:rFonts w:ascii="Times New Roman" w:hAnsi="Times New Roman" w:cs="Times New Roman"/>
                <w:lang w:val="mk-MK"/>
              </w:rPr>
            </w:pPr>
            <w:r>
              <w:rPr>
                <w:rFonts w:ascii="Times New Roman" w:hAnsi="Times New Roman" w:cs="Times New Roman"/>
                <w:color w:val="auto"/>
                <w:sz w:val="20"/>
                <w:lang w:val="mk-MK"/>
              </w:rPr>
              <w:t>Столб 3: Е-Владеење</w:t>
            </w:r>
          </w:p>
        </w:tc>
        <w:tc>
          <w:tcPr>
            <w:tcW w:w="3037" w:type="dxa"/>
          </w:tcPr>
          <w:p w14:paraId="6D252605"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lang w:val="mk-MK"/>
              </w:rPr>
              <w:t xml:space="preserve">100% дигитализирани клучни услуги; Примена на ВИ </w:t>
            </w:r>
            <w:r>
              <w:rPr>
                <w:rFonts w:ascii="Times New Roman" w:hAnsi="Times New Roman" w:cs="Times New Roman"/>
                <w:color w:val="auto"/>
                <w:sz w:val="20"/>
                <w:lang w:val="mk-MK"/>
              </w:rPr>
              <w:t>(чет-ботови) на националниот портал</w:t>
            </w:r>
          </w:p>
        </w:tc>
        <w:tc>
          <w:tcPr>
            <w:tcW w:w="3038" w:type="dxa"/>
          </w:tcPr>
          <w:p w14:paraId="45308DF2"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lang w:val="mk-MK"/>
              </w:rPr>
              <w:t>Директна примена на ВИ во јавниот сектор (</w:t>
            </w:r>
            <w:r>
              <w:rPr>
                <w:rFonts w:ascii="Times New Roman" w:hAnsi="Times New Roman" w:cs="Times New Roman"/>
                <w:i/>
                <w:iCs/>
                <w:color w:val="auto"/>
                <w:sz w:val="20"/>
                <w:lang w:val="mk-MK"/>
              </w:rPr>
              <w:t>GovTech</w:t>
            </w:r>
            <w:r>
              <w:rPr>
                <w:rFonts w:ascii="Times New Roman" w:hAnsi="Times New Roman" w:cs="Times New Roman"/>
                <w:color w:val="auto"/>
                <w:sz w:val="20"/>
                <w:lang w:val="mk-MK"/>
              </w:rPr>
              <w:t>) за подобрување на услугите</w:t>
            </w:r>
          </w:p>
        </w:tc>
      </w:tr>
      <w:tr w:rsidR="00FE200F" w14:paraId="179AD8BB"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7" w:type="dxa"/>
            <w:tcBorders>
              <w:right w:val="nil"/>
            </w:tcBorders>
          </w:tcPr>
          <w:p w14:paraId="224255E9" w14:textId="77777777" w:rsidR="00FE200F" w:rsidRDefault="00E77CAF">
            <w:pPr>
              <w:rPr>
                <w:rFonts w:ascii="Times New Roman" w:hAnsi="Times New Roman" w:cs="Times New Roman"/>
                <w:lang w:val="mk-MK"/>
              </w:rPr>
            </w:pPr>
            <w:r>
              <w:rPr>
                <w:rFonts w:ascii="Times New Roman" w:hAnsi="Times New Roman" w:cs="Times New Roman"/>
                <w:color w:val="auto"/>
                <w:sz w:val="20"/>
                <w:lang w:val="mk-MK"/>
              </w:rPr>
              <w:t>Столб 4: Бизниси</w:t>
            </w:r>
          </w:p>
        </w:tc>
        <w:tc>
          <w:tcPr>
            <w:tcW w:w="3037" w:type="dxa"/>
          </w:tcPr>
          <w:p w14:paraId="65E6997E"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lang w:val="mk-MK"/>
              </w:rPr>
              <w:t>75% од компаниите да користат ВИ/Облак/</w:t>
            </w:r>
            <w:r>
              <w:rPr>
                <w:rFonts w:ascii="Times New Roman" w:hAnsi="Times New Roman" w:cs="Times New Roman"/>
                <w:i/>
                <w:iCs/>
                <w:color w:val="auto"/>
                <w:sz w:val="20"/>
                <w:lang w:val="mk-MK"/>
              </w:rPr>
              <w:t>Big Data</w:t>
            </w:r>
            <w:r>
              <w:rPr>
                <w:rFonts w:ascii="Times New Roman" w:hAnsi="Times New Roman" w:cs="Times New Roman"/>
                <w:color w:val="auto"/>
                <w:sz w:val="20"/>
                <w:lang w:val="mk-MK"/>
              </w:rPr>
              <w:t>; 6 приоритетни ВИ истражувачки области</w:t>
            </w:r>
          </w:p>
        </w:tc>
        <w:tc>
          <w:tcPr>
            <w:tcW w:w="3038" w:type="dxa"/>
          </w:tcPr>
          <w:p w14:paraId="5A9B6C69"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lang w:val="mk-MK"/>
              </w:rPr>
              <w:t>Дефинирање на економските сектори кад</w:t>
            </w:r>
            <w:r>
              <w:rPr>
                <w:rFonts w:ascii="Times New Roman" w:hAnsi="Times New Roman" w:cs="Times New Roman"/>
                <w:color w:val="auto"/>
                <w:sz w:val="20"/>
                <w:lang w:val="mk-MK"/>
              </w:rPr>
              <w:t>е ВИ ќе има најголемо влијание (здравство, сообраќај, смарт производство)</w:t>
            </w:r>
          </w:p>
        </w:tc>
      </w:tr>
    </w:tbl>
    <w:p w14:paraId="2A793695" w14:textId="77777777" w:rsidR="00FE200F" w:rsidRDefault="00FE200F">
      <w:pPr>
        <w:jc w:val="both"/>
        <w:rPr>
          <w:rFonts w:ascii="Times New Roman" w:hAnsi="Times New Roman" w:cs="Times New Roman"/>
          <w:color w:val="auto"/>
          <w:lang w:val="mk-MK"/>
        </w:rPr>
      </w:pPr>
    </w:p>
    <w:p w14:paraId="072FB1E6"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 xml:space="preserve">Препораки за </w:t>
      </w:r>
      <w:r>
        <w:rPr>
          <w:rFonts w:ascii="Times New Roman" w:hAnsi="Times New Roman" w:cs="Times New Roman"/>
          <w:b/>
          <w:bCs/>
          <w:color w:val="auto"/>
          <w:lang w:val="mk-MK"/>
        </w:rPr>
        <w:t>Стратегијата за употреба на ВИ</w:t>
      </w:r>
      <w:r>
        <w:rPr>
          <w:rFonts w:ascii="Times New Roman" w:hAnsi="Times New Roman" w:cs="Times New Roman"/>
          <w:b/>
          <w:color w:val="auto"/>
          <w:lang w:val="mk-MK"/>
        </w:rPr>
        <w:t>:</w:t>
      </w:r>
    </w:p>
    <w:p w14:paraId="4BC867C5"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Врз основа на анализата на СМАРТ/МК 2030, Стратегијата за употреба на ВИ треба да ги инкорпорира следните елементи:</w:t>
      </w:r>
    </w:p>
    <w:p w14:paraId="6241D8A4" w14:textId="77777777" w:rsidR="00FE200F" w:rsidRDefault="00E77CAF">
      <w:pPr>
        <w:pStyle w:val="ListNumber"/>
        <w:numPr>
          <w:ilvl w:val="0"/>
          <w:numId w:val="18"/>
        </w:numPr>
        <w:jc w:val="both"/>
        <w:rPr>
          <w:rFonts w:ascii="Times New Roman" w:hAnsi="Times New Roman" w:cs="Times New Roman"/>
          <w:lang w:val="mk-MK"/>
        </w:rPr>
      </w:pPr>
      <w:r>
        <w:rPr>
          <w:rFonts w:ascii="Times New Roman" w:hAnsi="Times New Roman" w:cs="Times New Roman"/>
          <w:b/>
          <w:color w:val="auto"/>
          <w:lang w:val="mk-MK"/>
        </w:rPr>
        <w:t xml:space="preserve">Фокус на 6-те </w:t>
      </w:r>
      <w:r>
        <w:rPr>
          <w:rFonts w:ascii="Times New Roman" w:hAnsi="Times New Roman" w:cs="Times New Roman"/>
          <w:b/>
          <w:color w:val="auto"/>
          <w:lang w:val="mk-MK"/>
        </w:rPr>
        <w:t>приоритетни  области на истражување:</w:t>
      </w:r>
      <w:r>
        <w:rPr>
          <w:rFonts w:ascii="Times New Roman" w:hAnsi="Times New Roman" w:cs="Times New Roman"/>
          <w:color w:val="auto"/>
          <w:lang w:val="mk-MK"/>
        </w:rPr>
        <w:t xml:space="preserve"> стратегијата за ВИ треба детално да ги разработи механизмите за финансирање и поддршка на шесте области дефинирани во СМАРТ/МК 2030 (роботика, препознавање шаблони, е-услуги, преводи, здравство, сообраќај и смарт индуст</w:t>
      </w:r>
      <w:r>
        <w:rPr>
          <w:rFonts w:ascii="Times New Roman" w:hAnsi="Times New Roman" w:cs="Times New Roman"/>
          <w:color w:val="auto"/>
          <w:lang w:val="mk-MK"/>
        </w:rPr>
        <w:t>рии).</w:t>
      </w:r>
    </w:p>
    <w:p w14:paraId="1320F0E2" w14:textId="77777777" w:rsidR="00FE200F" w:rsidRDefault="00E77CAF">
      <w:pPr>
        <w:pStyle w:val="ListNumber"/>
        <w:numPr>
          <w:ilvl w:val="0"/>
          <w:numId w:val="19"/>
        </w:numPr>
        <w:jc w:val="both"/>
        <w:rPr>
          <w:rFonts w:ascii="Times New Roman" w:hAnsi="Times New Roman" w:cs="Times New Roman"/>
          <w:lang w:val="mk-MK"/>
        </w:rPr>
      </w:pPr>
      <w:r>
        <w:rPr>
          <w:rFonts w:ascii="Times New Roman" w:hAnsi="Times New Roman" w:cs="Times New Roman"/>
          <w:b/>
          <w:color w:val="auto"/>
          <w:lang w:val="mk-MK"/>
        </w:rPr>
        <w:t>Интеграција на ВИ во е-услугите:</w:t>
      </w:r>
      <w:r>
        <w:rPr>
          <w:rFonts w:ascii="Times New Roman" w:hAnsi="Times New Roman" w:cs="Times New Roman"/>
          <w:color w:val="auto"/>
          <w:lang w:val="mk-MK"/>
        </w:rPr>
        <w:t xml:space="preserve"> Да се надоврзе на целта за 100% дигитализирани услуги преку дефинирање на конкретни алатки со ВИ (предиктивна аналитика) кои ќе се интегрираат во националниот портал.</w:t>
      </w:r>
    </w:p>
    <w:p w14:paraId="71C5D7C1" w14:textId="77777777" w:rsidR="00FE200F" w:rsidRDefault="00E77CAF">
      <w:pPr>
        <w:pStyle w:val="ListNumber"/>
        <w:numPr>
          <w:ilvl w:val="0"/>
          <w:numId w:val="20"/>
        </w:numPr>
        <w:jc w:val="both"/>
        <w:rPr>
          <w:rFonts w:ascii="Times New Roman" w:hAnsi="Times New Roman" w:cs="Times New Roman"/>
          <w:lang w:val="mk-MK"/>
        </w:rPr>
      </w:pPr>
      <w:r>
        <w:rPr>
          <w:rFonts w:ascii="Times New Roman" w:hAnsi="Times New Roman" w:cs="Times New Roman"/>
          <w:b/>
          <w:color w:val="auto"/>
          <w:lang w:val="mk-MK"/>
        </w:rPr>
        <w:t>Развој на ВИ вештини во јавната администрација:</w:t>
      </w:r>
      <w:r>
        <w:rPr>
          <w:rFonts w:ascii="Times New Roman" w:hAnsi="Times New Roman" w:cs="Times New Roman"/>
          <w:color w:val="auto"/>
          <w:lang w:val="mk-MK"/>
        </w:rPr>
        <w:t xml:space="preserve"> Да</w:t>
      </w:r>
      <w:r>
        <w:rPr>
          <w:rFonts w:ascii="Times New Roman" w:hAnsi="Times New Roman" w:cs="Times New Roman"/>
          <w:color w:val="auto"/>
          <w:lang w:val="mk-MK"/>
        </w:rPr>
        <w:t xml:space="preserve"> се операционализира планот за обука на ИТ кадарот во јавниот сектор за управување со ВИ проекти, што е предуслов за успешна дигитална трансформација на институциите.</w:t>
      </w:r>
    </w:p>
    <w:p w14:paraId="4DF2F628" w14:textId="77777777" w:rsidR="00FE200F" w:rsidRDefault="00E77CAF">
      <w:pPr>
        <w:pStyle w:val="ListNumber"/>
        <w:numPr>
          <w:ilvl w:val="0"/>
          <w:numId w:val="21"/>
        </w:numPr>
        <w:jc w:val="both"/>
        <w:rPr>
          <w:rFonts w:ascii="Times New Roman" w:hAnsi="Times New Roman" w:cs="Times New Roman"/>
          <w:lang w:val="mk-MK"/>
        </w:rPr>
      </w:pPr>
      <w:r>
        <w:rPr>
          <w:rFonts w:ascii="Times New Roman" w:hAnsi="Times New Roman" w:cs="Times New Roman"/>
          <w:b/>
          <w:color w:val="auto"/>
          <w:lang w:val="mk-MK"/>
        </w:rPr>
        <w:t>Усогласување со ДЕСИ индикаторите:</w:t>
      </w:r>
      <w:r>
        <w:rPr>
          <w:rFonts w:ascii="Times New Roman" w:hAnsi="Times New Roman" w:cs="Times New Roman"/>
          <w:color w:val="auto"/>
          <w:lang w:val="mk-MK"/>
        </w:rPr>
        <w:t xml:space="preserve"> Сите таргети во ВИ стратегијата треба да бидат мерливи</w:t>
      </w:r>
      <w:r>
        <w:rPr>
          <w:rFonts w:ascii="Times New Roman" w:hAnsi="Times New Roman" w:cs="Times New Roman"/>
          <w:color w:val="auto"/>
          <w:lang w:val="mk-MK"/>
        </w:rPr>
        <w:t xml:space="preserve"> и усогласени со методологијата на Индексот за Дигитална Економија и </w:t>
      </w:r>
      <w:r>
        <w:rPr>
          <w:rFonts w:ascii="Times New Roman" w:hAnsi="Times New Roman" w:cs="Times New Roman"/>
          <w:color w:val="auto"/>
          <w:lang w:val="mk-MK"/>
        </w:rPr>
        <w:lastRenderedPageBreak/>
        <w:t>Општество (ДЕСИ), особено во делот на интеграција на дигитални технологии во бизнисите (таргетот од 75%).</w:t>
      </w:r>
    </w:p>
    <w:p w14:paraId="7CDA3DB6" w14:textId="77777777" w:rsidR="00FE200F" w:rsidRDefault="00E77CAF">
      <w:pPr>
        <w:pStyle w:val="Heading2"/>
        <w:jc w:val="both"/>
        <w:rPr>
          <w:rFonts w:ascii="Times New Roman" w:hAnsi="Times New Roman" w:cs="Times New Roman"/>
          <w:lang w:val="mk-MK"/>
        </w:rPr>
      </w:pPr>
      <w:bookmarkStart w:id="19" w:name="_Toc240630035"/>
      <w:bookmarkStart w:id="20" w:name="_Toc243907978"/>
      <w:r>
        <w:rPr>
          <w:rFonts w:ascii="Times New Roman" w:hAnsi="Times New Roman" w:cs="Times New Roman"/>
          <w:color w:val="auto"/>
          <w:sz w:val="24"/>
          <w:szCs w:val="24"/>
          <w:lang w:val="mk-MK"/>
        </w:rPr>
        <w:t>2.3 Стратегија за паметна специјализација 2024–2027 (С3)</w:t>
      </w:r>
      <w:bookmarkEnd w:id="19"/>
      <w:bookmarkEnd w:id="20"/>
    </w:p>
    <w:p w14:paraId="5B7E5F82"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Стратегијата за паметна </w:t>
      </w:r>
      <w:r>
        <w:rPr>
          <w:rFonts w:ascii="Times New Roman" w:hAnsi="Times New Roman" w:cs="Times New Roman"/>
          <w:color w:val="auto"/>
          <w:lang w:val="mk-MK"/>
        </w:rPr>
        <w:t>специјализација (С3-МК) претставува клучен национален документ за економска трансформација, кој ги насочува инвестициите во истражување, развој и иновации кон области каде што државата има конкурентска предност. С3-МК е усогласена со европските политики (Н</w:t>
      </w:r>
      <w:r>
        <w:rPr>
          <w:rFonts w:ascii="Times New Roman" w:hAnsi="Times New Roman" w:cs="Times New Roman"/>
          <w:color w:val="auto"/>
          <w:lang w:val="mk-MK"/>
        </w:rPr>
        <w:t>овата европска агенда за иновации, Програмата за дигитална Европа) и има за цел да го интегрира националниот екосистем во Заедничкиот европски пазар. Стратегијата идентификува четири приоритетни домени, од кои доменот „Информатички и комуникациски технолог</w:t>
      </w:r>
      <w:r>
        <w:rPr>
          <w:rFonts w:ascii="Times New Roman" w:hAnsi="Times New Roman" w:cs="Times New Roman"/>
          <w:color w:val="auto"/>
          <w:lang w:val="mk-MK"/>
        </w:rPr>
        <w:t>ии (ИКТ)“ е најрелевантен за развојот на вештачката интелигенција.</w:t>
      </w:r>
    </w:p>
    <w:p w14:paraId="1A22E9C0"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Приоритетен домен: Информатички и комуникациски технологии (ИКТ)</w:t>
      </w:r>
      <w:r>
        <w:rPr>
          <w:rFonts w:ascii="Times New Roman" w:hAnsi="Times New Roman" w:cs="Times New Roman"/>
          <w:color w:val="auto"/>
          <w:lang w:val="mk-MK"/>
        </w:rPr>
        <w:br/>
        <w:t>ИКТ секторот е препознаен како најбрзорастечкиот сектор во македонската економија, со околу 2.000 оперативни компании и 19.0</w:t>
      </w:r>
      <w:r>
        <w:rPr>
          <w:rFonts w:ascii="Times New Roman" w:hAnsi="Times New Roman" w:cs="Times New Roman"/>
          <w:color w:val="auto"/>
          <w:lang w:val="mk-MK"/>
        </w:rPr>
        <w:t>00 вработени. Извозот на ИКТ услуги бележи континуиран раст (37% во 2021 година, достигнувајќи 330 милиони евра), што претставува 19% од вкупниот извоз на услуги. Визијата за овој домен е транзиција од аутсорсинг економија кон креирање и извоз на иновативн</w:t>
      </w:r>
      <w:r>
        <w:rPr>
          <w:rFonts w:ascii="Times New Roman" w:hAnsi="Times New Roman" w:cs="Times New Roman"/>
          <w:color w:val="auto"/>
          <w:lang w:val="mk-MK"/>
        </w:rPr>
        <w:t>и производи и услуги, со што ИКТ секторот станува главен двигател на дигитализацијата на општеството.</w:t>
      </w:r>
    </w:p>
    <w:p w14:paraId="486E3754" w14:textId="77777777" w:rsidR="00FE200F" w:rsidRDefault="00E77CAF">
      <w:pPr>
        <w:pStyle w:val="ListNumber"/>
        <w:numPr>
          <w:ilvl w:val="0"/>
          <w:numId w:val="0"/>
        </w:numPr>
        <w:ind w:left="360" w:hanging="360"/>
        <w:jc w:val="both"/>
        <w:rPr>
          <w:rFonts w:ascii="Times New Roman" w:hAnsi="Times New Roman" w:cs="Times New Roman"/>
          <w:lang w:val="mk-MK"/>
        </w:rPr>
      </w:pPr>
      <w:r>
        <w:rPr>
          <w:rFonts w:ascii="Times New Roman" w:hAnsi="Times New Roman" w:cs="Times New Roman"/>
          <w:color w:val="auto"/>
          <w:lang w:val="mk-MK"/>
        </w:rPr>
        <w:t>Доменот е поделен на две клучни подобласти:</w:t>
      </w:r>
    </w:p>
    <w:p w14:paraId="474D5D6B" w14:textId="77777777" w:rsidR="00FE200F" w:rsidRDefault="00E77CAF">
      <w:pPr>
        <w:pStyle w:val="ListNumber"/>
        <w:numPr>
          <w:ilvl w:val="0"/>
          <w:numId w:val="7"/>
        </w:numPr>
        <w:jc w:val="both"/>
        <w:rPr>
          <w:rFonts w:ascii="Times New Roman" w:hAnsi="Times New Roman" w:cs="Times New Roman"/>
          <w:lang w:val="mk-MK"/>
        </w:rPr>
      </w:pPr>
      <w:r>
        <w:rPr>
          <w:rFonts w:ascii="Times New Roman" w:hAnsi="Times New Roman" w:cs="Times New Roman"/>
          <w:b/>
          <w:color w:val="auto"/>
          <w:lang w:val="mk-MK"/>
        </w:rPr>
        <w:t>Развој на софтвер за клиенти:</w:t>
      </w:r>
      <w:r>
        <w:rPr>
          <w:rFonts w:ascii="Times New Roman" w:hAnsi="Times New Roman" w:cs="Times New Roman"/>
          <w:color w:val="auto"/>
          <w:lang w:val="mk-MK"/>
        </w:rPr>
        <w:t xml:space="preserve"> Фокус на </w:t>
      </w:r>
      <w:r>
        <w:rPr>
          <w:rFonts w:ascii="Times New Roman" w:hAnsi="Times New Roman" w:cs="Times New Roman"/>
          <w:i/>
          <w:iCs/>
          <w:color w:val="auto"/>
          <w:lang w:val="mk-MK"/>
        </w:rPr>
        <w:t>fintech, e-Health/mHealth</w:t>
      </w:r>
      <w:r>
        <w:rPr>
          <w:rFonts w:ascii="Times New Roman" w:hAnsi="Times New Roman" w:cs="Times New Roman"/>
          <w:color w:val="auto"/>
          <w:lang w:val="mk-MK"/>
        </w:rPr>
        <w:t xml:space="preserve"> и меѓусекторски решенија (земјоделство, енерг</w:t>
      </w:r>
      <w:r>
        <w:rPr>
          <w:rFonts w:ascii="Times New Roman" w:hAnsi="Times New Roman" w:cs="Times New Roman"/>
          <w:color w:val="auto"/>
          <w:lang w:val="mk-MK"/>
        </w:rPr>
        <w:t>ија, транспорт, паметни згради) базирани на Интернет на нештата (</w:t>
      </w:r>
      <w:r>
        <w:rPr>
          <w:rFonts w:ascii="Times New Roman" w:hAnsi="Times New Roman" w:cs="Times New Roman"/>
          <w:i/>
          <w:iCs/>
          <w:color w:val="auto"/>
          <w:lang w:val="mk-MK"/>
        </w:rPr>
        <w:t>IoT</w:t>
      </w:r>
      <w:r>
        <w:rPr>
          <w:rFonts w:ascii="Times New Roman" w:hAnsi="Times New Roman" w:cs="Times New Roman"/>
          <w:color w:val="auto"/>
          <w:lang w:val="mk-MK"/>
        </w:rPr>
        <w:t xml:space="preserve">). Се нагласува потребата од отворени </w:t>
      </w:r>
      <w:r>
        <w:rPr>
          <w:rFonts w:ascii="Times New Roman" w:hAnsi="Times New Roman" w:cs="Times New Roman"/>
          <w:i/>
          <w:iCs/>
          <w:color w:val="auto"/>
          <w:lang w:val="mk-MK"/>
        </w:rPr>
        <w:t>API</w:t>
      </w:r>
      <w:r>
        <w:rPr>
          <w:rFonts w:ascii="Times New Roman" w:hAnsi="Times New Roman" w:cs="Times New Roman"/>
          <w:color w:val="auto"/>
          <w:lang w:val="mk-MK"/>
        </w:rPr>
        <w:t xml:space="preserve"> за јавните </w:t>
      </w:r>
      <w:r>
        <w:rPr>
          <w:rFonts w:ascii="Times New Roman" w:hAnsi="Times New Roman" w:cs="Times New Roman"/>
          <w:i/>
          <w:iCs/>
          <w:color w:val="auto"/>
          <w:lang w:val="mk-MK"/>
        </w:rPr>
        <w:t>SaaS</w:t>
      </w:r>
      <w:r>
        <w:rPr>
          <w:rFonts w:ascii="Times New Roman" w:hAnsi="Times New Roman" w:cs="Times New Roman"/>
          <w:color w:val="auto"/>
          <w:lang w:val="mk-MK"/>
        </w:rPr>
        <w:t xml:space="preserve"> платформи за да се поттикне развојот на иновативни производи.</w:t>
      </w:r>
    </w:p>
    <w:p w14:paraId="7E05ABC8" w14:textId="77777777" w:rsidR="00FE200F" w:rsidRDefault="00E77CAF">
      <w:pPr>
        <w:pStyle w:val="ListNumber"/>
        <w:numPr>
          <w:ilvl w:val="0"/>
          <w:numId w:val="7"/>
        </w:numPr>
        <w:jc w:val="both"/>
        <w:rPr>
          <w:rFonts w:ascii="Times New Roman" w:hAnsi="Times New Roman" w:cs="Times New Roman"/>
          <w:lang w:val="mk-MK"/>
        </w:rPr>
      </w:pPr>
      <w:r>
        <w:rPr>
          <w:rFonts w:ascii="Times New Roman" w:hAnsi="Times New Roman" w:cs="Times New Roman"/>
          <w:b/>
          <w:color w:val="auto"/>
          <w:lang w:val="mk-MK"/>
        </w:rPr>
        <w:t>ИКТ решенија водени од податоци:</w:t>
      </w:r>
      <w:r>
        <w:rPr>
          <w:rFonts w:ascii="Times New Roman" w:hAnsi="Times New Roman" w:cs="Times New Roman"/>
          <w:color w:val="auto"/>
          <w:lang w:val="mk-MK"/>
        </w:rPr>
        <w:t xml:space="preserve"> Оваа подобласт директно ја таргетир</w:t>
      </w:r>
      <w:r>
        <w:rPr>
          <w:rFonts w:ascii="Times New Roman" w:hAnsi="Times New Roman" w:cs="Times New Roman"/>
          <w:color w:val="auto"/>
          <w:lang w:val="mk-MK"/>
        </w:rPr>
        <w:t>а вештачката интелигенција. Таа опфаќа современи решенија кои се потпираат на приспособена аналитика на податоци користејќи вештачка интелигенција (ВИ) преку техники на машинско учење (</w:t>
      </w:r>
      <w:r>
        <w:rPr>
          <w:rFonts w:ascii="Times New Roman" w:hAnsi="Times New Roman" w:cs="Times New Roman"/>
          <w:i/>
          <w:iCs/>
          <w:color w:val="auto"/>
          <w:lang w:val="mk-MK"/>
        </w:rPr>
        <w:t>ML</w:t>
      </w:r>
      <w:r>
        <w:rPr>
          <w:rFonts w:ascii="Times New Roman" w:hAnsi="Times New Roman" w:cs="Times New Roman"/>
          <w:color w:val="auto"/>
          <w:lang w:val="mk-MK"/>
        </w:rPr>
        <w:t>) и поспецифично длабоко учење. Оваа област е поддржана од критична м</w:t>
      </w:r>
      <w:r>
        <w:rPr>
          <w:rFonts w:ascii="Times New Roman" w:hAnsi="Times New Roman" w:cs="Times New Roman"/>
          <w:color w:val="auto"/>
          <w:lang w:val="mk-MK"/>
        </w:rPr>
        <w:t>аса на иновативни стартапи (25,6% од сите стартапи поддржани од ИНОВА се од ИКТ секторот).</w:t>
      </w:r>
    </w:p>
    <w:p w14:paraId="3A9C16A9"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Клучни развојни технологии (</w:t>
      </w:r>
      <w:r>
        <w:rPr>
          <w:rFonts w:ascii="Times New Roman" w:hAnsi="Times New Roman" w:cs="Times New Roman"/>
          <w:b/>
          <w:i/>
          <w:iCs/>
          <w:color w:val="auto"/>
          <w:lang w:val="mk-MK"/>
        </w:rPr>
        <w:t>Key Enabling Technologies - KET</w:t>
      </w:r>
      <w:r>
        <w:rPr>
          <w:rFonts w:ascii="Times New Roman" w:hAnsi="Times New Roman" w:cs="Times New Roman"/>
          <w:b/>
          <w:color w:val="auto"/>
          <w:lang w:val="mk-MK"/>
        </w:rPr>
        <w:t>)</w:t>
      </w:r>
    </w:p>
    <w:p w14:paraId="111E26BE"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С3-МК идентификува неколку клучни технологии кои поттикнуваат меѓусекторски иновации и се суштински за х</w:t>
      </w:r>
      <w:r>
        <w:rPr>
          <w:rFonts w:ascii="Times New Roman" w:hAnsi="Times New Roman" w:cs="Times New Roman"/>
          <w:color w:val="auto"/>
          <w:lang w:val="mk-MK"/>
        </w:rPr>
        <w:t>оризонталното проширување на ИКТ решенијата во другите домени (Паметно земјоделство, Електро-машинска индустрија, Одржливи материјали). Овие технологии вклучуваат:</w:t>
      </w:r>
    </w:p>
    <w:p w14:paraId="4CC0F63A" w14:textId="77777777" w:rsidR="00FE200F" w:rsidRDefault="00E77CAF">
      <w:pPr>
        <w:pStyle w:val="ListParagraph"/>
        <w:numPr>
          <w:ilvl w:val="0"/>
          <w:numId w:val="8"/>
        </w:numPr>
        <w:jc w:val="both"/>
        <w:rPr>
          <w:rFonts w:ascii="Times New Roman" w:hAnsi="Times New Roman" w:cs="Times New Roman"/>
          <w:lang w:val="mk-MK"/>
        </w:rPr>
      </w:pPr>
      <w:r>
        <w:rPr>
          <w:rFonts w:ascii="Times New Roman" w:hAnsi="Times New Roman" w:cs="Times New Roman"/>
          <w:color w:val="auto"/>
          <w:lang w:val="mk-MK"/>
        </w:rPr>
        <w:t>Услуги базирани на облак (</w:t>
      </w:r>
      <w:r>
        <w:rPr>
          <w:rFonts w:ascii="Times New Roman" w:hAnsi="Times New Roman" w:cs="Times New Roman"/>
          <w:i/>
          <w:iCs/>
          <w:color w:val="auto"/>
          <w:lang w:val="mk-MK"/>
        </w:rPr>
        <w:t>Cloud-based services</w:t>
      </w:r>
      <w:r>
        <w:rPr>
          <w:rFonts w:ascii="Times New Roman" w:hAnsi="Times New Roman" w:cs="Times New Roman"/>
          <w:color w:val="auto"/>
          <w:lang w:val="mk-MK"/>
        </w:rPr>
        <w:t>)</w:t>
      </w:r>
    </w:p>
    <w:p w14:paraId="21B2F98C" w14:textId="77777777" w:rsidR="00FE200F" w:rsidRDefault="00E77CAF">
      <w:pPr>
        <w:pStyle w:val="ListParagraph"/>
        <w:numPr>
          <w:ilvl w:val="0"/>
          <w:numId w:val="8"/>
        </w:numPr>
        <w:jc w:val="both"/>
        <w:rPr>
          <w:rFonts w:ascii="Times New Roman" w:hAnsi="Times New Roman" w:cs="Times New Roman"/>
          <w:lang w:val="mk-MK"/>
        </w:rPr>
      </w:pPr>
      <w:r>
        <w:rPr>
          <w:rFonts w:ascii="Times New Roman" w:hAnsi="Times New Roman" w:cs="Times New Roman"/>
          <w:color w:val="auto"/>
          <w:lang w:val="mk-MK"/>
        </w:rPr>
        <w:t>Интернет на нештата (</w:t>
      </w:r>
      <w:r>
        <w:rPr>
          <w:rFonts w:ascii="Times New Roman" w:hAnsi="Times New Roman" w:cs="Times New Roman"/>
          <w:i/>
          <w:iCs/>
          <w:color w:val="auto"/>
          <w:lang w:val="mk-MK"/>
        </w:rPr>
        <w:t>IoT</w:t>
      </w:r>
      <w:r>
        <w:rPr>
          <w:rFonts w:ascii="Times New Roman" w:hAnsi="Times New Roman" w:cs="Times New Roman"/>
          <w:color w:val="auto"/>
          <w:lang w:val="mk-MK"/>
        </w:rPr>
        <w:t>)</w:t>
      </w:r>
    </w:p>
    <w:p w14:paraId="6A1C279B" w14:textId="77777777" w:rsidR="00FE200F" w:rsidRDefault="00E77CAF">
      <w:pPr>
        <w:pStyle w:val="ListParagraph"/>
        <w:numPr>
          <w:ilvl w:val="0"/>
          <w:numId w:val="8"/>
        </w:numPr>
        <w:jc w:val="both"/>
        <w:rPr>
          <w:rFonts w:ascii="Times New Roman" w:hAnsi="Times New Roman" w:cs="Times New Roman"/>
          <w:lang w:val="mk-MK"/>
        </w:rPr>
      </w:pPr>
      <w:r>
        <w:rPr>
          <w:rFonts w:ascii="Times New Roman" w:hAnsi="Times New Roman" w:cs="Times New Roman"/>
          <w:color w:val="auto"/>
          <w:lang w:val="mk-MK"/>
        </w:rPr>
        <w:t xml:space="preserve">Вградливи </w:t>
      </w:r>
      <w:r>
        <w:rPr>
          <w:rFonts w:ascii="Times New Roman" w:hAnsi="Times New Roman" w:cs="Times New Roman"/>
          <w:color w:val="auto"/>
          <w:lang w:val="mk-MK"/>
        </w:rPr>
        <w:t>технологии (</w:t>
      </w:r>
      <w:r>
        <w:rPr>
          <w:rFonts w:ascii="Times New Roman" w:hAnsi="Times New Roman" w:cs="Times New Roman"/>
          <w:i/>
          <w:iCs/>
          <w:color w:val="auto"/>
          <w:lang w:val="mk-MK"/>
        </w:rPr>
        <w:t>Embedded technologies</w:t>
      </w:r>
      <w:r>
        <w:rPr>
          <w:rFonts w:ascii="Times New Roman" w:hAnsi="Times New Roman" w:cs="Times New Roman"/>
          <w:color w:val="auto"/>
          <w:lang w:val="mk-MK"/>
        </w:rPr>
        <w:t>)</w:t>
      </w:r>
    </w:p>
    <w:p w14:paraId="5528448B" w14:textId="77777777" w:rsidR="00FE200F" w:rsidRDefault="00E77CAF">
      <w:pPr>
        <w:pStyle w:val="ListParagraph"/>
        <w:numPr>
          <w:ilvl w:val="0"/>
          <w:numId w:val="8"/>
        </w:numPr>
        <w:jc w:val="both"/>
        <w:rPr>
          <w:rFonts w:ascii="Times New Roman" w:hAnsi="Times New Roman" w:cs="Times New Roman"/>
          <w:lang w:val="mk-MK"/>
        </w:rPr>
      </w:pPr>
      <w:r>
        <w:rPr>
          <w:rFonts w:ascii="Times New Roman" w:hAnsi="Times New Roman" w:cs="Times New Roman"/>
          <w:color w:val="auto"/>
          <w:lang w:val="mk-MK"/>
        </w:rPr>
        <w:t>Блокчејн технологии (</w:t>
      </w:r>
      <w:r>
        <w:rPr>
          <w:rFonts w:ascii="Times New Roman" w:hAnsi="Times New Roman" w:cs="Times New Roman"/>
          <w:i/>
          <w:iCs/>
          <w:color w:val="auto"/>
          <w:lang w:val="mk-MK"/>
        </w:rPr>
        <w:t>Ledger technologies</w:t>
      </w:r>
      <w:r>
        <w:rPr>
          <w:rFonts w:ascii="Times New Roman" w:hAnsi="Times New Roman" w:cs="Times New Roman"/>
          <w:color w:val="auto"/>
          <w:lang w:val="mk-MK"/>
        </w:rPr>
        <w:t>)</w:t>
      </w:r>
    </w:p>
    <w:p w14:paraId="04DA5D2B" w14:textId="77777777" w:rsidR="00FE200F" w:rsidRDefault="00E77CAF">
      <w:pPr>
        <w:pStyle w:val="ListParagraph"/>
        <w:numPr>
          <w:ilvl w:val="0"/>
          <w:numId w:val="8"/>
        </w:numPr>
        <w:jc w:val="both"/>
        <w:rPr>
          <w:rFonts w:ascii="Times New Roman" w:hAnsi="Times New Roman" w:cs="Times New Roman"/>
          <w:lang w:val="mk-MK"/>
        </w:rPr>
      </w:pPr>
      <w:r>
        <w:rPr>
          <w:rFonts w:ascii="Times New Roman" w:hAnsi="Times New Roman" w:cs="Times New Roman"/>
          <w:color w:val="auto"/>
          <w:lang w:val="mk-MK"/>
        </w:rPr>
        <w:t>Безбедносни технологии (</w:t>
      </w:r>
      <w:r>
        <w:rPr>
          <w:rFonts w:ascii="Times New Roman" w:hAnsi="Times New Roman" w:cs="Times New Roman"/>
          <w:i/>
          <w:iCs/>
          <w:color w:val="auto"/>
          <w:lang w:val="mk-MK"/>
        </w:rPr>
        <w:t>Security technologies</w:t>
      </w:r>
      <w:r>
        <w:rPr>
          <w:rFonts w:ascii="Times New Roman" w:hAnsi="Times New Roman" w:cs="Times New Roman"/>
          <w:color w:val="auto"/>
          <w:lang w:val="mk-MK"/>
        </w:rPr>
        <w:t>)</w:t>
      </w:r>
    </w:p>
    <w:p w14:paraId="4834F7D6"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Стратешки цели и дигитална трансформација</w:t>
      </w:r>
      <w:r>
        <w:rPr>
          <w:rFonts w:ascii="Times New Roman" w:hAnsi="Times New Roman" w:cs="Times New Roman"/>
          <w:color w:val="auto"/>
          <w:lang w:val="mk-MK"/>
        </w:rPr>
        <w:t xml:space="preserve"> - С3-МК дефинира пет хоризонтални стратешки цели (СЦ) валидни за сите домени, од кои СЦ 5 </w:t>
      </w:r>
      <w:r>
        <w:rPr>
          <w:rFonts w:ascii="Times New Roman" w:hAnsi="Times New Roman" w:cs="Times New Roman"/>
          <w:color w:val="auto"/>
          <w:lang w:val="mk-MK"/>
        </w:rPr>
        <w:t>е директно поврзана со дигитализацијата:</w:t>
      </w:r>
    </w:p>
    <w:p w14:paraId="3314B5F1"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lastRenderedPageBreak/>
        <w:t>СЦ 5: Дигитална трансформација на општеството и бизнисите:</w:t>
      </w:r>
      <w:r>
        <w:rPr>
          <w:rFonts w:ascii="Times New Roman" w:hAnsi="Times New Roman" w:cs="Times New Roman"/>
          <w:color w:val="auto"/>
          <w:lang w:val="mk-MK"/>
        </w:rPr>
        <w:t xml:space="preserve"> Се фокусира на дигитализација на јавниот и приватниот сектор, развој на иновативни дигитални решенија и подобрување на институционалната интероперабилност. </w:t>
      </w:r>
      <w:r>
        <w:rPr>
          <w:rFonts w:ascii="Times New Roman" w:hAnsi="Times New Roman" w:cs="Times New Roman"/>
          <w:color w:val="auto"/>
          <w:lang w:val="mk-MK"/>
        </w:rPr>
        <w:t>Оваа цел предвидува инвестиции во автоматизација на процесите за справување со недостигот на работна сила и подобрување на конкурентноста.</w:t>
      </w:r>
    </w:p>
    <w:p w14:paraId="3C94B94A" w14:textId="77777777" w:rsidR="00FE200F" w:rsidRDefault="00E77CAF">
      <w:pPr>
        <w:jc w:val="both"/>
        <w:rPr>
          <w:rFonts w:ascii="Times New Roman" w:hAnsi="Times New Roman" w:cs="Times New Roman"/>
          <w:color w:val="auto"/>
          <w:lang w:val="en-GB"/>
        </w:rPr>
      </w:pPr>
      <w:r>
        <w:rPr>
          <w:rFonts w:ascii="Times New Roman" w:hAnsi="Times New Roman" w:cs="Times New Roman"/>
          <w:color w:val="auto"/>
          <w:lang w:val="mk-MK"/>
        </w:rPr>
        <w:t>Дополнително, специфичните цели за ИКТ доменот вклучуваат зголемување на извозот на ИКТ решенија (СЦ1), зајакнување н</w:t>
      </w:r>
      <w:r>
        <w:rPr>
          <w:rFonts w:ascii="Times New Roman" w:hAnsi="Times New Roman" w:cs="Times New Roman"/>
          <w:color w:val="auto"/>
          <w:lang w:val="mk-MK"/>
        </w:rPr>
        <w:t>а научната извонредност (СЦ2), подобрување на иновацискиот екосистем (СЦ3) и дигитализација на јавниот сектор (СЦ6).</w:t>
      </w:r>
    </w:p>
    <w:p w14:paraId="30952473" w14:textId="77777777" w:rsidR="00FE200F" w:rsidRDefault="00FE200F">
      <w:pPr>
        <w:jc w:val="both"/>
        <w:rPr>
          <w:rFonts w:ascii="Times New Roman" w:hAnsi="Times New Roman" w:cs="Times New Roman"/>
          <w:color w:val="auto"/>
          <w:lang w:val="en-GB"/>
        </w:rPr>
      </w:pPr>
    </w:p>
    <w:p w14:paraId="64A41E13" w14:textId="77777777" w:rsidR="00FE200F" w:rsidRDefault="00FE200F">
      <w:pPr>
        <w:jc w:val="both"/>
        <w:rPr>
          <w:rFonts w:ascii="Times New Roman" w:hAnsi="Times New Roman" w:cs="Times New Roman"/>
          <w:color w:val="auto"/>
          <w:lang w:val="en-GB"/>
        </w:rPr>
      </w:pPr>
    </w:p>
    <w:p w14:paraId="0722B7FE" w14:textId="77777777" w:rsidR="00FE200F" w:rsidRDefault="00FE200F">
      <w:pPr>
        <w:jc w:val="both"/>
        <w:rPr>
          <w:rFonts w:ascii="Times New Roman" w:hAnsi="Times New Roman" w:cs="Times New Roman"/>
          <w:color w:val="auto"/>
          <w:lang w:val="en-GB"/>
        </w:rPr>
      </w:pPr>
    </w:p>
    <w:p w14:paraId="59F92CC4" w14:textId="77777777" w:rsidR="00FE200F" w:rsidRDefault="00FE200F">
      <w:pPr>
        <w:jc w:val="both"/>
        <w:rPr>
          <w:rFonts w:ascii="Times New Roman" w:hAnsi="Times New Roman" w:cs="Times New Roman"/>
          <w:lang w:val="en-GB"/>
        </w:rPr>
      </w:pPr>
    </w:p>
    <w:p w14:paraId="47373C76"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Табела 3: Релевантност на С3-МК за Националната ВИ Стратегија</w:t>
      </w:r>
    </w:p>
    <w:tbl>
      <w:tblPr>
        <w:tblStyle w:val="GridTable5Dark-Accent5"/>
        <w:tblW w:w="9112" w:type="dxa"/>
        <w:shd w:val="clear" w:color="auto" w:fill="DAEEF3"/>
        <w:tblLayout w:type="fixed"/>
        <w:tblLook w:val="04A0" w:firstRow="1" w:lastRow="0" w:firstColumn="1" w:lastColumn="0" w:noHBand="0" w:noVBand="1"/>
      </w:tblPr>
      <w:tblGrid>
        <w:gridCol w:w="3037"/>
        <w:gridCol w:w="3037"/>
        <w:gridCol w:w="3038"/>
      </w:tblGrid>
      <w:tr w:rsidR="00FE200F" w14:paraId="39D15349" w14:textId="77777777" w:rsidTr="00FE20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7" w:type="dxa"/>
          </w:tcPr>
          <w:p w14:paraId="2D174BDE" w14:textId="77777777" w:rsidR="00FE200F" w:rsidRDefault="00E77CAF">
            <w:pPr>
              <w:rPr>
                <w:rFonts w:ascii="Times New Roman" w:hAnsi="Times New Roman" w:cs="Times New Roman"/>
                <w:lang w:val="mk-MK"/>
              </w:rPr>
            </w:pPr>
            <w:r>
              <w:rPr>
                <w:rFonts w:ascii="Times New Roman" w:hAnsi="Times New Roman" w:cs="Times New Roman"/>
                <w:color w:val="auto"/>
                <w:sz w:val="20"/>
                <w:lang w:val="mk-MK"/>
              </w:rPr>
              <w:t>Домен / Област</w:t>
            </w:r>
          </w:p>
        </w:tc>
        <w:tc>
          <w:tcPr>
            <w:tcW w:w="3037" w:type="dxa"/>
            <w:tcBorders>
              <w:bottom w:val="nil"/>
            </w:tcBorders>
          </w:tcPr>
          <w:p w14:paraId="71C644AF" w14:textId="77777777" w:rsidR="00FE200F" w:rsidRDefault="00E77CA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lang w:val="mk-MK"/>
              </w:rPr>
              <w:t>ВИ Приоритети и Цели</w:t>
            </w:r>
          </w:p>
        </w:tc>
        <w:tc>
          <w:tcPr>
            <w:tcW w:w="3038" w:type="dxa"/>
            <w:tcBorders>
              <w:bottom w:val="nil"/>
            </w:tcBorders>
          </w:tcPr>
          <w:p w14:paraId="5E45E0E3" w14:textId="77777777" w:rsidR="00FE200F" w:rsidRDefault="00E77CA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lang w:val="mk-MK"/>
              </w:rPr>
              <w:t>Релевантност за ВИ Стратегијата</w:t>
            </w:r>
          </w:p>
        </w:tc>
      </w:tr>
      <w:tr w:rsidR="00FE200F" w14:paraId="04E51DB3"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7" w:type="dxa"/>
            <w:tcBorders>
              <w:right w:val="nil"/>
            </w:tcBorders>
          </w:tcPr>
          <w:p w14:paraId="2E74E3CC" w14:textId="77777777" w:rsidR="00FE200F" w:rsidRDefault="00E77CAF">
            <w:pPr>
              <w:rPr>
                <w:rFonts w:ascii="Times New Roman" w:hAnsi="Times New Roman" w:cs="Times New Roman"/>
                <w:lang w:val="mk-MK"/>
              </w:rPr>
            </w:pPr>
            <w:r>
              <w:rPr>
                <w:rFonts w:ascii="Times New Roman" w:hAnsi="Times New Roman" w:cs="Times New Roman"/>
                <w:color w:val="auto"/>
                <w:sz w:val="20"/>
                <w:lang w:val="mk-MK"/>
              </w:rPr>
              <w:t xml:space="preserve">ИКТ </w:t>
            </w:r>
            <w:r>
              <w:rPr>
                <w:rFonts w:ascii="Times New Roman" w:hAnsi="Times New Roman" w:cs="Times New Roman"/>
                <w:color w:val="auto"/>
                <w:sz w:val="20"/>
                <w:lang w:val="mk-MK"/>
              </w:rPr>
              <w:t>решенија водени од податоци</w:t>
            </w:r>
          </w:p>
        </w:tc>
        <w:tc>
          <w:tcPr>
            <w:tcW w:w="3037" w:type="dxa"/>
          </w:tcPr>
          <w:p w14:paraId="5553DF80"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lang w:val="mk-MK"/>
              </w:rPr>
              <w:t>Развој на решенија базирани на ВИ (</w:t>
            </w:r>
            <w:r>
              <w:rPr>
                <w:rFonts w:ascii="Times New Roman" w:hAnsi="Times New Roman" w:cs="Times New Roman"/>
                <w:i/>
                <w:iCs/>
                <w:color w:val="auto"/>
                <w:sz w:val="20"/>
                <w:lang w:val="mk-MK"/>
              </w:rPr>
              <w:t>ML</w:t>
            </w:r>
            <w:r>
              <w:rPr>
                <w:rFonts w:ascii="Times New Roman" w:hAnsi="Times New Roman" w:cs="Times New Roman"/>
                <w:color w:val="auto"/>
                <w:sz w:val="20"/>
                <w:lang w:val="mk-MK"/>
              </w:rPr>
              <w:t xml:space="preserve"> и длабоко учење); поддршка на стартапи.</w:t>
            </w:r>
          </w:p>
        </w:tc>
        <w:tc>
          <w:tcPr>
            <w:tcW w:w="3038" w:type="dxa"/>
          </w:tcPr>
          <w:p w14:paraId="0DB21BE7"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lang w:val="mk-MK"/>
              </w:rPr>
              <w:t>Директна основа за развој на домашна ВИ индустрија и производи со висока додадена вредност.</w:t>
            </w:r>
          </w:p>
        </w:tc>
      </w:tr>
      <w:tr w:rsidR="00FE200F" w14:paraId="17EE1AE0" w14:textId="77777777" w:rsidTr="00FE200F">
        <w:tc>
          <w:tcPr>
            <w:cnfStyle w:val="001000000000" w:firstRow="0" w:lastRow="0" w:firstColumn="1" w:lastColumn="0" w:oddVBand="0" w:evenVBand="0" w:oddHBand="0" w:evenHBand="0" w:firstRowFirstColumn="0" w:firstRowLastColumn="0" w:lastRowFirstColumn="0" w:lastRowLastColumn="0"/>
            <w:tcW w:w="3037" w:type="dxa"/>
            <w:tcBorders>
              <w:right w:val="nil"/>
            </w:tcBorders>
          </w:tcPr>
          <w:p w14:paraId="64B11904" w14:textId="77777777" w:rsidR="00FE200F" w:rsidRDefault="00E77CAF">
            <w:pPr>
              <w:rPr>
                <w:rFonts w:ascii="Times New Roman" w:hAnsi="Times New Roman" w:cs="Times New Roman"/>
                <w:lang w:val="mk-MK"/>
              </w:rPr>
            </w:pPr>
            <w:r>
              <w:rPr>
                <w:rFonts w:ascii="Times New Roman" w:hAnsi="Times New Roman" w:cs="Times New Roman"/>
                <w:color w:val="auto"/>
                <w:sz w:val="20"/>
                <w:lang w:val="mk-MK"/>
              </w:rPr>
              <w:t>Меѓусекторски иновации (KET)</w:t>
            </w:r>
          </w:p>
        </w:tc>
        <w:tc>
          <w:tcPr>
            <w:tcW w:w="3037" w:type="dxa"/>
          </w:tcPr>
          <w:p w14:paraId="7919A91C"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lang w:val="mk-MK"/>
              </w:rPr>
              <w:t>Примена на ВИ/</w:t>
            </w:r>
            <w:r>
              <w:rPr>
                <w:rFonts w:ascii="Times New Roman" w:hAnsi="Times New Roman" w:cs="Times New Roman"/>
                <w:i/>
                <w:iCs/>
                <w:color w:val="auto"/>
                <w:sz w:val="20"/>
                <w:lang w:val="mk-MK"/>
              </w:rPr>
              <w:t>IoT</w:t>
            </w:r>
            <w:r>
              <w:rPr>
                <w:rFonts w:ascii="Times New Roman" w:hAnsi="Times New Roman" w:cs="Times New Roman"/>
                <w:color w:val="auto"/>
                <w:sz w:val="20"/>
                <w:lang w:val="mk-MK"/>
              </w:rPr>
              <w:t xml:space="preserve"> во паметно земјоделство, здравство, енергија и паметни згради.</w:t>
            </w:r>
          </w:p>
        </w:tc>
        <w:tc>
          <w:tcPr>
            <w:tcW w:w="3038" w:type="dxa"/>
          </w:tcPr>
          <w:p w14:paraId="68797E45"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lang w:val="mk-MK"/>
              </w:rPr>
              <w:t>Идентификува приоритетни сектори за пилот-проекти и примена на ВИ решенија.</w:t>
            </w:r>
          </w:p>
        </w:tc>
      </w:tr>
      <w:tr w:rsidR="00FE200F" w14:paraId="66860B38"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7" w:type="dxa"/>
            <w:tcBorders>
              <w:right w:val="nil"/>
            </w:tcBorders>
          </w:tcPr>
          <w:p w14:paraId="2489B5E1" w14:textId="77777777" w:rsidR="00FE200F" w:rsidRDefault="00E77CAF">
            <w:pPr>
              <w:rPr>
                <w:rFonts w:ascii="Times New Roman" w:hAnsi="Times New Roman" w:cs="Times New Roman"/>
                <w:lang w:val="mk-MK"/>
              </w:rPr>
            </w:pPr>
            <w:r>
              <w:rPr>
                <w:rFonts w:ascii="Times New Roman" w:hAnsi="Times New Roman" w:cs="Times New Roman"/>
                <w:color w:val="auto"/>
                <w:sz w:val="20"/>
                <w:lang w:val="mk-MK"/>
              </w:rPr>
              <w:t>Отворени податоци и API</w:t>
            </w:r>
          </w:p>
        </w:tc>
        <w:tc>
          <w:tcPr>
            <w:tcW w:w="3037" w:type="dxa"/>
          </w:tcPr>
          <w:p w14:paraId="52133C8C"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lang w:val="mk-MK"/>
              </w:rPr>
              <w:t xml:space="preserve">Отворени податоци и отворени </w:t>
            </w:r>
            <w:r>
              <w:rPr>
                <w:rFonts w:ascii="Times New Roman" w:hAnsi="Times New Roman" w:cs="Times New Roman"/>
                <w:i/>
                <w:iCs/>
                <w:color w:val="auto"/>
                <w:sz w:val="20"/>
                <w:lang w:val="mk-MK"/>
              </w:rPr>
              <w:t>API</w:t>
            </w:r>
            <w:r>
              <w:rPr>
                <w:rFonts w:ascii="Times New Roman" w:hAnsi="Times New Roman" w:cs="Times New Roman"/>
                <w:color w:val="auto"/>
                <w:sz w:val="20"/>
                <w:lang w:val="mk-MK"/>
              </w:rPr>
              <w:t xml:space="preserve"> за јавни </w:t>
            </w:r>
            <w:r>
              <w:rPr>
                <w:rFonts w:ascii="Times New Roman" w:hAnsi="Times New Roman" w:cs="Times New Roman"/>
                <w:i/>
                <w:iCs/>
                <w:color w:val="auto"/>
                <w:sz w:val="20"/>
                <w:lang w:val="mk-MK"/>
              </w:rPr>
              <w:t>SaaS</w:t>
            </w:r>
            <w:r>
              <w:rPr>
                <w:rFonts w:ascii="Times New Roman" w:hAnsi="Times New Roman" w:cs="Times New Roman"/>
                <w:color w:val="auto"/>
                <w:sz w:val="20"/>
                <w:lang w:val="mk-MK"/>
              </w:rPr>
              <w:t xml:space="preserve"> платформи за развој на нови производи.</w:t>
            </w:r>
          </w:p>
        </w:tc>
        <w:tc>
          <w:tcPr>
            <w:tcW w:w="3038" w:type="dxa"/>
          </w:tcPr>
          <w:p w14:paraId="4706AF76"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lang w:val="mk-MK"/>
              </w:rPr>
              <w:t>Клучен предуслов за развој на ВИ модели тренирани на локални податоци.</w:t>
            </w:r>
          </w:p>
        </w:tc>
      </w:tr>
      <w:tr w:rsidR="00FE200F" w14:paraId="5FDDAB49" w14:textId="77777777" w:rsidTr="00FE200F">
        <w:tc>
          <w:tcPr>
            <w:cnfStyle w:val="001000000000" w:firstRow="0" w:lastRow="0" w:firstColumn="1" w:lastColumn="0" w:oddVBand="0" w:evenVBand="0" w:oddHBand="0" w:evenHBand="0" w:firstRowFirstColumn="0" w:firstRowLastColumn="0" w:lastRowFirstColumn="0" w:lastRowLastColumn="0"/>
            <w:tcW w:w="3037" w:type="dxa"/>
            <w:tcBorders>
              <w:right w:val="nil"/>
            </w:tcBorders>
          </w:tcPr>
          <w:p w14:paraId="3F695CE1" w14:textId="77777777" w:rsidR="00FE200F" w:rsidRDefault="00E77CAF">
            <w:pPr>
              <w:rPr>
                <w:rFonts w:ascii="Times New Roman" w:hAnsi="Times New Roman" w:cs="Times New Roman"/>
                <w:lang w:val="mk-MK"/>
              </w:rPr>
            </w:pPr>
            <w:r>
              <w:rPr>
                <w:rFonts w:ascii="Times New Roman" w:hAnsi="Times New Roman" w:cs="Times New Roman"/>
                <w:color w:val="auto"/>
                <w:sz w:val="20"/>
                <w:lang w:val="mk-MK"/>
              </w:rPr>
              <w:t>Дигитална трансформација (СЦ 5)</w:t>
            </w:r>
          </w:p>
        </w:tc>
        <w:tc>
          <w:tcPr>
            <w:tcW w:w="3037" w:type="dxa"/>
          </w:tcPr>
          <w:p w14:paraId="481CEF0B"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lang w:val="mk-MK"/>
              </w:rPr>
              <w:t>Автоматизација на процеси, дигитализација на јавен/приватен сектор, интероперабилност.</w:t>
            </w:r>
          </w:p>
        </w:tc>
        <w:tc>
          <w:tcPr>
            <w:tcW w:w="3038" w:type="dxa"/>
          </w:tcPr>
          <w:p w14:paraId="190B4188"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lang w:val="mk-MK"/>
              </w:rPr>
              <w:t>Создава инфраструктурна и институционална рамка за имплементација</w:t>
            </w:r>
            <w:r>
              <w:rPr>
                <w:rFonts w:ascii="Times New Roman" w:hAnsi="Times New Roman" w:cs="Times New Roman"/>
                <w:color w:val="auto"/>
                <w:sz w:val="20"/>
                <w:lang w:val="mk-MK"/>
              </w:rPr>
              <w:t xml:space="preserve"> на ВИ.</w:t>
            </w:r>
          </w:p>
        </w:tc>
      </w:tr>
    </w:tbl>
    <w:p w14:paraId="56010827" w14:textId="77777777" w:rsidR="00FE200F" w:rsidRDefault="00FE200F">
      <w:pPr>
        <w:jc w:val="both"/>
        <w:rPr>
          <w:rFonts w:ascii="Times New Roman" w:hAnsi="Times New Roman" w:cs="Times New Roman"/>
          <w:color w:val="auto"/>
          <w:lang w:val="mk-MK"/>
        </w:rPr>
      </w:pPr>
    </w:p>
    <w:p w14:paraId="00A2AAF2"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 xml:space="preserve">Препораки за </w:t>
      </w:r>
      <w:r>
        <w:rPr>
          <w:rFonts w:ascii="Times New Roman" w:hAnsi="Times New Roman" w:cs="Times New Roman"/>
          <w:b/>
          <w:bCs/>
          <w:color w:val="auto"/>
          <w:lang w:val="mk-MK"/>
        </w:rPr>
        <w:t>Стратегијата за употреба на ВИ</w:t>
      </w:r>
      <w:r>
        <w:rPr>
          <w:rFonts w:ascii="Times New Roman" w:hAnsi="Times New Roman" w:cs="Times New Roman"/>
          <w:b/>
          <w:color w:val="auto"/>
          <w:lang w:val="mk-MK"/>
        </w:rPr>
        <w:t>:</w:t>
      </w:r>
    </w:p>
    <w:p w14:paraId="7B84B32B" w14:textId="77777777" w:rsidR="00FE200F" w:rsidRDefault="00E77CAF">
      <w:pPr>
        <w:pStyle w:val="ListParagraph"/>
        <w:numPr>
          <w:ilvl w:val="0"/>
          <w:numId w:val="9"/>
        </w:numPr>
        <w:jc w:val="both"/>
        <w:rPr>
          <w:rFonts w:ascii="Times New Roman" w:hAnsi="Times New Roman" w:cs="Times New Roman"/>
          <w:lang w:val="mk-MK"/>
        </w:rPr>
      </w:pPr>
      <w:r>
        <w:rPr>
          <w:rFonts w:ascii="Times New Roman" w:hAnsi="Times New Roman" w:cs="Times New Roman"/>
          <w:b/>
          <w:color w:val="auto"/>
          <w:lang w:val="mk-MK"/>
        </w:rPr>
        <w:t>Фокус на ИКТ решенија водени од податоци:</w:t>
      </w:r>
      <w:r>
        <w:rPr>
          <w:rFonts w:ascii="Times New Roman" w:hAnsi="Times New Roman" w:cs="Times New Roman"/>
          <w:color w:val="auto"/>
          <w:lang w:val="mk-MK"/>
        </w:rPr>
        <w:t xml:space="preserve"> ВИ стратегијата треба да ги искористи постоечките капацитети во ИКТ секторот (особено стартапите) за развој на сопствени ВИ производи, поддржувајќи ја транзици</w:t>
      </w:r>
      <w:r>
        <w:rPr>
          <w:rFonts w:ascii="Times New Roman" w:hAnsi="Times New Roman" w:cs="Times New Roman"/>
          <w:color w:val="auto"/>
          <w:lang w:val="mk-MK"/>
        </w:rPr>
        <w:t>јата од аутсорсинг кон економија базирана на иновации.</w:t>
      </w:r>
    </w:p>
    <w:p w14:paraId="2CDA6DBD" w14:textId="77777777" w:rsidR="00FE200F" w:rsidRDefault="00E77CAF">
      <w:pPr>
        <w:pStyle w:val="ListParagraph"/>
        <w:numPr>
          <w:ilvl w:val="0"/>
          <w:numId w:val="9"/>
        </w:numPr>
        <w:jc w:val="both"/>
        <w:rPr>
          <w:rFonts w:ascii="Times New Roman" w:hAnsi="Times New Roman" w:cs="Times New Roman"/>
          <w:lang w:val="mk-MK"/>
        </w:rPr>
      </w:pPr>
      <w:r>
        <w:rPr>
          <w:rFonts w:ascii="Times New Roman" w:hAnsi="Times New Roman" w:cs="Times New Roman"/>
          <w:b/>
          <w:color w:val="auto"/>
          <w:lang w:val="mk-MK"/>
        </w:rPr>
        <w:t>Меѓусекторска примена на ВИ:</w:t>
      </w:r>
      <w:r>
        <w:rPr>
          <w:rFonts w:ascii="Times New Roman" w:hAnsi="Times New Roman" w:cs="Times New Roman"/>
          <w:color w:val="auto"/>
          <w:lang w:val="mk-MK"/>
        </w:rPr>
        <w:t xml:space="preserve"> Да се приоритетизира примената на ВИ во домените идентификувани во С3-МК (паметно земјоделство, здравство, паметни згради, електро-машинска индустрија) преку заеднички истр</w:t>
      </w:r>
      <w:r>
        <w:rPr>
          <w:rFonts w:ascii="Times New Roman" w:hAnsi="Times New Roman" w:cs="Times New Roman"/>
          <w:color w:val="auto"/>
          <w:lang w:val="mk-MK"/>
        </w:rPr>
        <w:t>ажувачки проекти и пилот-имплементации.</w:t>
      </w:r>
    </w:p>
    <w:p w14:paraId="52B0A6ED" w14:textId="77777777" w:rsidR="00FE200F" w:rsidRDefault="00E77CAF">
      <w:pPr>
        <w:pStyle w:val="ListParagraph"/>
        <w:numPr>
          <w:ilvl w:val="0"/>
          <w:numId w:val="9"/>
        </w:numPr>
        <w:jc w:val="both"/>
        <w:rPr>
          <w:rFonts w:ascii="Times New Roman" w:hAnsi="Times New Roman" w:cs="Times New Roman"/>
          <w:lang w:val="mk-MK"/>
        </w:rPr>
      </w:pPr>
      <w:r>
        <w:rPr>
          <w:rFonts w:ascii="Times New Roman" w:hAnsi="Times New Roman" w:cs="Times New Roman"/>
          <w:b/>
          <w:color w:val="auto"/>
          <w:lang w:val="mk-MK"/>
        </w:rPr>
        <w:lastRenderedPageBreak/>
        <w:t>Отворање на јавните податоци:</w:t>
      </w:r>
      <w:r>
        <w:rPr>
          <w:rFonts w:ascii="Times New Roman" w:hAnsi="Times New Roman" w:cs="Times New Roman"/>
          <w:color w:val="auto"/>
          <w:lang w:val="mk-MK"/>
        </w:rPr>
        <w:t xml:space="preserve"> Да се инсистира на имплементација на отворени податоци и отворени </w:t>
      </w:r>
      <w:r>
        <w:rPr>
          <w:rFonts w:ascii="Times New Roman" w:hAnsi="Times New Roman" w:cs="Times New Roman"/>
          <w:i/>
          <w:iCs/>
          <w:color w:val="auto"/>
          <w:lang w:val="mk-MK"/>
        </w:rPr>
        <w:t>API</w:t>
      </w:r>
      <w:r>
        <w:rPr>
          <w:rFonts w:ascii="Times New Roman" w:hAnsi="Times New Roman" w:cs="Times New Roman"/>
          <w:color w:val="auto"/>
          <w:lang w:val="mk-MK"/>
        </w:rPr>
        <w:t xml:space="preserve"> во јавниот сектор, како што е предвидено во С3-МК, за да се обезбедат неопходните податоци за тренирање на локални В</w:t>
      </w:r>
      <w:r>
        <w:rPr>
          <w:rFonts w:ascii="Times New Roman" w:hAnsi="Times New Roman" w:cs="Times New Roman"/>
          <w:color w:val="auto"/>
          <w:lang w:val="mk-MK"/>
        </w:rPr>
        <w:t>И модели.</w:t>
      </w:r>
    </w:p>
    <w:p w14:paraId="5E00C5EF" w14:textId="77777777" w:rsidR="00FE200F" w:rsidRDefault="00E77CAF">
      <w:pPr>
        <w:pStyle w:val="ListParagraph"/>
        <w:numPr>
          <w:ilvl w:val="0"/>
          <w:numId w:val="9"/>
        </w:numPr>
        <w:jc w:val="both"/>
        <w:rPr>
          <w:rFonts w:ascii="Times New Roman" w:hAnsi="Times New Roman" w:cs="Times New Roman"/>
          <w:lang w:val="mk-MK"/>
        </w:rPr>
      </w:pPr>
      <w:r>
        <w:rPr>
          <w:rFonts w:ascii="Times New Roman" w:hAnsi="Times New Roman" w:cs="Times New Roman"/>
          <w:b/>
          <w:color w:val="auto"/>
          <w:lang w:val="mk-MK"/>
        </w:rPr>
        <w:t>Усогласување на финансирањето:</w:t>
      </w:r>
      <w:r>
        <w:rPr>
          <w:rFonts w:ascii="Times New Roman" w:hAnsi="Times New Roman" w:cs="Times New Roman"/>
          <w:color w:val="auto"/>
          <w:lang w:val="mk-MK"/>
        </w:rPr>
        <w:t xml:space="preserve"> ВИ стратегијата треба да ги користи механизмите за финансирање предвидени во С3-МК (преку ИНОВА и други инструменти) за поддршка на истражувањето и развојот во областа на вештачката интелигенција.</w:t>
      </w:r>
    </w:p>
    <w:p w14:paraId="5EB65AFB" w14:textId="77777777" w:rsidR="00FE200F" w:rsidRDefault="00FE200F">
      <w:pPr>
        <w:jc w:val="both"/>
        <w:rPr>
          <w:rFonts w:ascii="Times New Roman" w:hAnsi="Times New Roman" w:cs="Times New Roman"/>
          <w:color w:val="auto"/>
          <w:lang w:val="en-GB"/>
        </w:rPr>
      </w:pPr>
    </w:p>
    <w:tbl>
      <w:tblPr>
        <w:tblStyle w:val="MediumGrid3-Accent5"/>
        <w:tblW w:w="9102" w:type="dxa"/>
        <w:shd w:val="clear" w:color="auto" w:fill="D2EAF1"/>
        <w:tblLayout w:type="fixed"/>
        <w:tblLook w:val="04A0" w:firstRow="1" w:lastRow="0" w:firstColumn="1" w:lastColumn="0" w:noHBand="0" w:noVBand="1"/>
      </w:tblPr>
      <w:tblGrid>
        <w:gridCol w:w="4552"/>
        <w:gridCol w:w="4550"/>
      </w:tblGrid>
      <w:tr w:rsidR="00FE200F" w14:paraId="16122AAE" w14:textId="77777777" w:rsidTr="00FE20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51" w:type="dxa"/>
            <w:tcBorders>
              <w:bottom w:val="single" w:sz="24" w:space="0" w:color="FFFFFF"/>
            </w:tcBorders>
          </w:tcPr>
          <w:p w14:paraId="14CD4460"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Приоритетна </w:t>
            </w:r>
            <w:r>
              <w:rPr>
                <w:rFonts w:ascii="Times New Roman" w:hAnsi="Times New Roman" w:cs="Times New Roman"/>
                <w:color w:val="auto"/>
                <w:lang w:val="mk-MK"/>
              </w:rPr>
              <w:t>област</w:t>
            </w:r>
          </w:p>
        </w:tc>
        <w:tc>
          <w:tcPr>
            <w:tcW w:w="4550" w:type="dxa"/>
            <w:tcBorders>
              <w:bottom w:val="single" w:sz="24" w:space="0" w:color="FFFFFF"/>
            </w:tcBorders>
          </w:tcPr>
          <w:p w14:paraId="21C4CDA6" w14:textId="77777777" w:rsidR="00FE200F" w:rsidRDefault="00E77CA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Клучни цели и поврзаност со ВИ</w:t>
            </w:r>
          </w:p>
        </w:tc>
      </w:tr>
      <w:tr w:rsidR="00FE200F" w14:paraId="6B4CBC68"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51" w:type="dxa"/>
            <w:tcBorders>
              <w:right w:val="single" w:sz="24" w:space="0" w:color="FFFFFF"/>
            </w:tcBorders>
          </w:tcPr>
          <w:p w14:paraId="51FC12BA"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1. Силни национални капацитети за сајбер-безбедност</w:t>
            </w:r>
          </w:p>
        </w:tc>
        <w:tc>
          <w:tcPr>
            <w:tcW w:w="4550" w:type="dxa"/>
          </w:tcPr>
          <w:p w14:paraId="4E674847"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Јасна структура за управување; Сектор за сајбер-безбедност во МДТ и Национален совет за безбедност. ВИ системите ќе бараат специјализирани капацитети во овие тела за</w:t>
            </w:r>
            <w:r>
              <w:rPr>
                <w:rFonts w:ascii="Times New Roman" w:hAnsi="Times New Roman" w:cs="Times New Roman"/>
                <w:color w:val="auto"/>
                <w:lang w:val="mk-MK"/>
              </w:rPr>
              <w:t xml:space="preserve"> надзор на алгоритамски ризици.</w:t>
            </w:r>
          </w:p>
        </w:tc>
      </w:tr>
      <w:tr w:rsidR="00FE200F" w14:paraId="5738457B" w14:textId="77777777" w:rsidTr="00FE200F">
        <w:tc>
          <w:tcPr>
            <w:cnfStyle w:val="001000000000" w:firstRow="0" w:lastRow="0" w:firstColumn="1" w:lastColumn="0" w:oddVBand="0" w:evenVBand="0" w:oddHBand="0" w:evenHBand="0" w:firstRowFirstColumn="0" w:firstRowLastColumn="0" w:lastRowFirstColumn="0" w:lastRowLastColumn="0"/>
            <w:tcW w:w="4551" w:type="dxa"/>
            <w:tcBorders>
              <w:right w:val="single" w:sz="24" w:space="0" w:color="FFFFFF"/>
            </w:tcBorders>
          </w:tcPr>
          <w:p w14:paraId="79E4E235"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2. Безбедност и отпорност на суштински и важни субјекти</w:t>
            </w:r>
          </w:p>
        </w:tc>
        <w:tc>
          <w:tcPr>
            <w:tcW w:w="4550" w:type="dxa"/>
            <w:tcBorders>
              <w:top w:val="single" w:sz="6" w:space="0" w:color="FFFFFF"/>
              <w:left w:val="single" w:sz="6" w:space="0" w:color="FFFFFF"/>
              <w:bottom w:val="single" w:sz="6" w:space="0" w:color="FFFFFF"/>
            </w:tcBorders>
          </w:tcPr>
          <w:p w14:paraId="5CC6F1D4"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 xml:space="preserve">Заштита на критична инфраструктура и транспозиција на </w:t>
            </w:r>
            <w:r>
              <w:rPr>
                <w:rFonts w:ascii="Times New Roman" w:hAnsi="Times New Roman" w:cs="Times New Roman"/>
                <w:i/>
                <w:iCs/>
                <w:color w:val="auto"/>
                <w:lang w:val="mk-MK"/>
              </w:rPr>
              <w:t>NIS2</w:t>
            </w:r>
            <w:r>
              <w:rPr>
                <w:rFonts w:ascii="Times New Roman" w:hAnsi="Times New Roman" w:cs="Times New Roman"/>
                <w:color w:val="auto"/>
                <w:lang w:val="mk-MK"/>
              </w:rPr>
              <w:t xml:space="preserve"> директивата. ВИ системите во енергетиката, здравството и финансиите ќе подлежат на строги </w:t>
            </w:r>
            <w:r>
              <w:rPr>
                <w:rFonts w:ascii="Times New Roman" w:hAnsi="Times New Roman" w:cs="Times New Roman"/>
                <w:i/>
                <w:iCs/>
                <w:color w:val="auto"/>
                <w:lang w:val="mk-MK"/>
              </w:rPr>
              <w:t>NIS2</w:t>
            </w:r>
            <w:r>
              <w:rPr>
                <w:rFonts w:ascii="Times New Roman" w:hAnsi="Times New Roman" w:cs="Times New Roman"/>
                <w:color w:val="auto"/>
                <w:lang w:val="mk-MK"/>
              </w:rPr>
              <w:t xml:space="preserve"> безбедносни контроли.</w:t>
            </w:r>
          </w:p>
        </w:tc>
      </w:tr>
      <w:tr w:rsidR="00FE200F" w14:paraId="3DFD5439"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51" w:type="dxa"/>
            <w:tcBorders>
              <w:right w:val="single" w:sz="24" w:space="0" w:color="FFFFFF"/>
            </w:tcBorders>
          </w:tcPr>
          <w:p w14:paraId="24CE5601"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3. Општество отпорно на сајбер-закани</w:t>
            </w:r>
          </w:p>
        </w:tc>
        <w:tc>
          <w:tcPr>
            <w:tcW w:w="4550" w:type="dxa"/>
          </w:tcPr>
          <w:p w14:paraId="1AC6216F"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Зголемување на свесноста за сајбер-безбедноста и борба против дезинформации. Ова е клучно за справување со ВИ-генерирани лажни содржини (</w:t>
            </w:r>
            <w:r>
              <w:rPr>
                <w:rFonts w:ascii="Times New Roman" w:hAnsi="Times New Roman" w:cs="Times New Roman"/>
                <w:i/>
                <w:iCs/>
                <w:color w:val="auto"/>
                <w:lang w:val="mk-MK"/>
              </w:rPr>
              <w:t>deepfakes)</w:t>
            </w:r>
            <w:r>
              <w:rPr>
                <w:rFonts w:ascii="Times New Roman" w:hAnsi="Times New Roman" w:cs="Times New Roman"/>
                <w:color w:val="auto"/>
                <w:lang w:val="mk-MK"/>
              </w:rPr>
              <w:t xml:space="preserve"> и автоматизирани кампањи за дезинформации.</w:t>
            </w:r>
          </w:p>
        </w:tc>
      </w:tr>
      <w:tr w:rsidR="00FE200F" w14:paraId="0E70F576" w14:textId="77777777" w:rsidTr="00FE200F">
        <w:tc>
          <w:tcPr>
            <w:cnfStyle w:val="001000000000" w:firstRow="0" w:lastRow="0" w:firstColumn="1" w:lastColumn="0" w:oddVBand="0" w:evenVBand="0" w:oddHBand="0" w:evenHBand="0" w:firstRowFirstColumn="0" w:firstRowLastColumn="0" w:lastRowFirstColumn="0" w:lastRowLastColumn="0"/>
            <w:tcW w:w="4551" w:type="dxa"/>
            <w:tcBorders>
              <w:right w:val="single" w:sz="24" w:space="0" w:color="FFFFFF"/>
            </w:tcBorders>
          </w:tcPr>
          <w:p w14:paraId="3A94F1B0"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4.</w:t>
            </w:r>
            <w:r>
              <w:rPr>
                <w:rFonts w:ascii="Times New Roman" w:hAnsi="Times New Roman" w:cs="Times New Roman"/>
                <w:color w:val="auto"/>
                <w:lang w:val="mk-MK"/>
              </w:rPr>
              <w:t xml:space="preserve"> Минимизирање на влијанието на инциденти</w:t>
            </w:r>
          </w:p>
        </w:tc>
        <w:tc>
          <w:tcPr>
            <w:tcW w:w="4550" w:type="dxa"/>
            <w:tcBorders>
              <w:top w:val="single" w:sz="6" w:space="0" w:color="FFFFFF"/>
              <w:left w:val="single" w:sz="6" w:space="0" w:color="FFFFFF"/>
              <w:bottom w:val="single" w:sz="6" w:space="0" w:color="FFFFFF"/>
            </w:tcBorders>
          </w:tcPr>
          <w:p w14:paraId="7F08C4C0"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 xml:space="preserve">Навремена идентификација, пријавување и одговор на напади преку </w:t>
            </w:r>
            <w:r>
              <w:rPr>
                <w:rFonts w:ascii="Times New Roman" w:hAnsi="Times New Roman" w:cs="Times New Roman"/>
                <w:i/>
                <w:iCs/>
                <w:color w:val="auto"/>
                <w:lang w:val="mk-MK"/>
              </w:rPr>
              <w:t>CSIRT</w:t>
            </w:r>
            <w:r>
              <w:rPr>
                <w:rFonts w:ascii="Times New Roman" w:hAnsi="Times New Roman" w:cs="Times New Roman"/>
                <w:color w:val="auto"/>
                <w:lang w:val="mk-MK"/>
              </w:rPr>
              <w:t xml:space="preserve"> мрежата. ВИ алатките ќе бидат неопходни за автоматизирана детекција на аномалии и брз одговор на инциденти.</w:t>
            </w:r>
          </w:p>
        </w:tc>
      </w:tr>
      <w:tr w:rsidR="00FE200F" w14:paraId="7E285B16"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51" w:type="dxa"/>
            <w:tcBorders>
              <w:right w:val="single" w:sz="24" w:space="0" w:color="FFFFFF"/>
            </w:tcBorders>
          </w:tcPr>
          <w:p w14:paraId="1E855F26"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5. Национална и меѓународна соработк</w:t>
            </w:r>
            <w:r>
              <w:rPr>
                <w:rFonts w:ascii="Times New Roman" w:hAnsi="Times New Roman" w:cs="Times New Roman"/>
                <w:color w:val="auto"/>
                <w:lang w:val="mk-MK"/>
              </w:rPr>
              <w:t>а</w:t>
            </w:r>
          </w:p>
        </w:tc>
        <w:tc>
          <w:tcPr>
            <w:tcW w:w="4550" w:type="dxa"/>
          </w:tcPr>
          <w:p w14:paraId="7D9FFFE1"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Соработка со НАТО, ЕУ и имплементација на мерки за градење доверба. Вклучува размена на информации за нови ВИ-базирани вектори на напад со меѓународните партнери.</w:t>
            </w:r>
          </w:p>
        </w:tc>
      </w:tr>
    </w:tbl>
    <w:p w14:paraId="6D3B6109" w14:textId="77777777" w:rsidR="00FE200F" w:rsidRDefault="00E77CAF">
      <w:pPr>
        <w:pStyle w:val="Heading2"/>
        <w:jc w:val="both"/>
        <w:rPr>
          <w:rFonts w:ascii="Times New Roman" w:hAnsi="Times New Roman" w:cs="Times New Roman"/>
          <w:lang w:val="mk-MK"/>
        </w:rPr>
      </w:pPr>
      <w:bookmarkStart w:id="21" w:name="_Toc240630036"/>
      <w:bookmarkStart w:id="22" w:name="_Toc243907979"/>
      <w:r>
        <w:rPr>
          <w:rFonts w:ascii="Times New Roman" w:hAnsi="Times New Roman" w:cs="Times New Roman"/>
          <w:color w:val="auto"/>
          <w:sz w:val="24"/>
          <w:szCs w:val="24"/>
          <w:lang w:val="mk-MK"/>
        </w:rPr>
        <w:t>2.4 Стратегија за сајбер-безбедност 2025–2028</w:t>
      </w:r>
      <w:bookmarkEnd w:id="21"/>
      <w:bookmarkEnd w:id="22"/>
    </w:p>
    <w:p w14:paraId="1A0694D3"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Стратегијата за сајбер-безбедност 2025–2028 </w:t>
      </w:r>
      <w:r>
        <w:rPr>
          <w:rFonts w:ascii="Times New Roman" w:hAnsi="Times New Roman" w:cs="Times New Roman"/>
          <w:color w:val="auto"/>
          <w:lang w:val="mk-MK"/>
        </w:rPr>
        <w:t>на Република Северна Македонија претставува клучен национален приоритет за заштита на дигиталната инфраструктура и услуги што ги користат граѓаните, државните институции и економијата. Во контекст на Стратегијата за употреба на ВИ, овој документ е од сушти</w:t>
      </w:r>
      <w:r>
        <w:rPr>
          <w:rFonts w:ascii="Times New Roman" w:hAnsi="Times New Roman" w:cs="Times New Roman"/>
          <w:color w:val="auto"/>
          <w:lang w:val="mk-MK"/>
        </w:rPr>
        <w:t>нско значење бидејќи ја дефинира безбедносната рамка во која ВИ системите мора да оперираат, но и ја препознава ВИ како клучна технологија за одбрана.</w:t>
      </w:r>
    </w:p>
    <w:p w14:paraId="0988348D"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lastRenderedPageBreak/>
        <w:t>Поврзаност со Одлуката за стратешки приоритети на Владата (2024–2028)</w:t>
      </w:r>
      <w:r>
        <w:rPr>
          <w:rFonts w:ascii="Times New Roman" w:hAnsi="Times New Roman" w:cs="Times New Roman"/>
          <w:color w:val="auto"/>
          <w:lang w:val="mk-MK"/>
        </w:rPr>
        <w:br/>
        <w:t>Стратегијата за сајбер-безбедност е</w:t>
      </w:r>
      <w:r>
        <w:rPr>
          <w:rFonts w:ascii="Times New Roman" w:hAnsi="Times New Roman" w:cs="Times New Roman"/>
          <w:color w:val="auto"/>
          <w:lang w:val="mk-MK"/>
        </w:rPr>
        <w:t xml:space="preserve"> директно усогласена со стратешките приоритети на Владата (2024–2028), со посебен акцент на дигитализацијата, иновациите, безбедноста и владеењето на правото. Во рамките на приоритетот за „Професионална и ефикасна јавна администрација, развој на дигиталнат</w:t>
      </w:r>
      <w:r>
        <w:rPr>
          <w:rFonts w:ascii="Times New Roman" w:hAnsi="Times New Roman" w:cs="Times New Roman"/>
          <w:color w:val="auto"/>
          <w:lang w:val="mk-MK"/>
        </w:rPr>
        <w:t>а економија, ИКТ секторот, вештачката интелигенција, иновациите и стартап екосистемот“, Стратегијата експлицитно ја поддржува оваа цел преку:</w:t>
      </w:r>
      <w:r>
        <w:rPr>
          <w:rFonts w:ascii="Times New Roman" w:hAnsi="Times New Roman" w:cs="Times New Roman"/>
          <w:color w:val="auto"/>
          <w:lang w:val="mk-MK"/>
        </w:rPr>
        <w:br/>
      </w:r>
    </w:p>
    <w:p w14:paraId="4954CD27"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 Поттикнување иновации и </w:t>
      </w:r>
      <w:r>
        <w:rPr>
          <w:rFonts w:ascii="Times New Roman" w:hAnsi="Times New Roman" w:cs="Times New Roman"/>
          <w:bCs/>
          <w:color w:val="auto"/>
          <w:lang w:val="mk-MK"/>
        </w:rPr>
        <w:t>употреба на вештачка интелигенција за управување со сајбер-ризици и заштита на податоци</w:t>
      </w:r>
      <w:r>
        <w:rPr>
          <w:rFonts w:ascii="Times New Roman" w:hAnsi="Times New Roman" w:cs="Times New Roman"/>
          <w:color w:val="auto"/>
          <w:lang w:val="mk-MK"/>
        </w:rPr>
        <w:t>.</w:t>
      </w:r>
    </w:p>
    <w:p w14:paraId="554F3964"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Обезбедување сигурна основа за развој на стартап екосистеми преку унапредување на јавно-приватната соработка.</w:t>
      </w:r>
    </w:p>
    <w:p w14:paraId="5B59A491"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Стратегијата е структурирана во пет приоритетни области (ПО), од кои секоја има директни импликации за развојот и имплементацијата на ВИ:</w:t>
      </w:r>
    </w:p>
    <w:p w14:paraId="190B3674"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ПО 1</w:t>
      </w:r>
      <w:r>
        <w:rPr>
          <w:rFonts w:ascii="Times New Roman" w:hAnsi="Times New Roman" w:cs="Times New Roman"/>
          <w:b/>
          <w:color w:val="auto"/>
          <w:lang w:val="mk-MK"/>
        </w:rPr>
        <w:t>: Силни национални капацитети за сајбер-безбедност</w:t>
      </w:r>
    </w:p>
    <w:p w14:paraId="5E34C992"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Оваа област се фокусира на воспоставување јасна институционална структура, вклучувајќи го Националниот совет за дигитална трансформација на општеството, Националната единствена точка за контакт и </w:t>
      </w:r>
      <w:r>
        <w:rPr>
          <w:rFonts w:ascii="Times New Roman" w:hAnsi="Times New Roman" w:cs="Times New Roman"/>
          <w:color w:val="auto"/>
          <w:lang w:val="mk-MK"/>
        </w:rPr>
        <w:t>Националниот центар за одговор на компјутерски инциденти (МКД-ЦИРТ). За ВИ стратегијата, ова значи дека сите ВИ системи во јавниот сектор ќе подлежат на надзор од овие тела и ќе мора да бидат интегрирани во националниот систем за пријавување инциденти.</w:t>
      </w:r>
    </w:p>
    <w:p w14:paraId="2A25C02E"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 xml:space="preserve">ПО </w:t>
      </w:r>
      <w:r>
        <w:rPr>
          <w:rFonts w:ascii="Times New Roman" w:hAnsi="Times New Roman" w:cs="Times New Roman"/>
          <w:b/>
          <w:color w:val="auto"/>
          <w:lang w:val="mk-MK"/>
        </w:rPr>
        <w:t>2: Безбедност и отпорност на суштински и важни субјекти (Критична инфраструктура)</w:t>
      </w:r>
    </w:p>
    <w:p w14:paraId="054A6BE6"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Ова е најрелевантната област за ВИ. Стратегијата предвидува донесување на обврзувачки Минимални технички и организациски мерки за сајбер-безбедност за операторите во секторит</w:t>
      </w:r>
      <w:r>
        <w:rPr>
          <w:rFonts w:ascii="Times New Roman" w:hAnsi="Times New Roman" w:cs="Times New Roman"/>
          <w:color w:val="auto"/>
          <w:lang w:val="mk-MK"/>
        </w:rPr>
        <w:t xml:space="preserve">е со висока критичност (усогласени со </w:t>
      </w:r>
      <w:r>
        <w:rPr>
          <w:rFonts w:ascii="Times New Roman" w:hAnsi="Times New Roman" w:cs="Times New Roman"/>
          <w:i/>
          <w:iCs/>
          <w:color w:val="auto"/>
          <w:lang w:val="mk-MK"/>
        </w:rPr>
        <w:t>ISO</w:t>
      </w:r>
      <w:r>
        <w:rPr>
          <w:rFonts w:ascii="Times New Roman" w:hAnsi="Times New Roman" w:cs="Times New Roman"/>
          <w:color w:val="auto"/>
          <w:lang w:val="mk-MK"/>
        </w:rPr>
        <w:t xml:space="preserve"> и </w:t>
      </w:r>
      <w:r>
        <w:rPr>
          <w:rFonts w:ascii="Times New Roman" w:hAnsi="Times New Roman" w:cs="Times New Roman"/>
          <w:i/>
          <w:iCs/>
          <w:color w:val="auto"/>
          <w:lang w:val="mk-MK"/>
        </w:rPr>
        <w:t>NIST</w:t>
      </w:r>
      <w:r>
        <w:rPr>
          <w:rFonts w:ascii="Times New Roman" w:hAnsi="Times New Roman" w:cs="Times New Roman"/>
          <w:color w:val="auto"/>
          <w:lang w:val="mk-MK"/>
        </w:rPr>
        <w:t xml:space="preserve">). Документот експлицитно наведува дека Владата се залага за создавање безбедна дигитална средина преку стратешка поддршка и промоција за користење на </w:t>
      </w:r>
      <w:r>
        <w:rPr>
          <w:rFonts w:ascii="Times New Roman" w:hAnsi="Times New Roman" w:cs="Times New Roman"/>
          <w:bCs/>
          <w:color w:val="auto"/>
          <w:lang w:val="mk-MK"/>
        </w:rPr>
        <w:t>вештачка интелигенција</w:t>
      </w:r>
      <w:r>
        <w:rPr>
          <w:rFonts w:ascii="Times New Roman" w:hAnsi="Times New Roman" w:cs="Times New Roman"/>
          <w:color w:val="auto"/>
          <w:lang w:val="mk-MK"/>
        </w:rPr>
        <w:t xml:space="preserve"> и системи за машинско учење како о</w:t>
      </w:r>
      <w:r>
        <w:rPr>
          <w:rFonts w:ascii="Times New Roman" w:hAnsi="Times New Roman" w:cs="Times New Roman"/>
          <w:color w:val="auto"/>
          <w:lang w:val="mk-MK"/>
        </w:rPr>
        <w:t>дбранбени механизми. Дополнително, се воведуваат регистри на безбедни и високоризични технологии и се вклучуваат сајбер безбедносни барања во јавните набавки за ИКТ-решенија.</w:t>
      </w:r>
    </w:p>
    <w:p w14:paraId="1319F91A"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ПО 3: Општество отпорно на сајбер закани</w:t>
      </w:r>
    </w:p>
    <w:p w14:paraId="667603CE" w14:textId="77777777" w:rsidR="00FE200F" w:rsidRDefault="00E77CAF">
      <w:pPr>
        <w:jc w:val="both"/>
        <w:rPr>
          <w:rFonts w:ascii="Times New Roman" w:hAnsi="Times New Roman" w:cs="Times New Roman"/>
          <w:color w:val="auto"/>
          <w:lang w:val="en-GB"/>
        </w:rPr>
      </w:pPr>
      <w:r>
        <w:rPr>
          <w:rFonts w:ascii="Times New Roman" w:hAnsi="Times New Roman" w:cs="Times New Roman"/>
          <w:color w:val="auto"/>
          <w:lang w:val="mk-MK"/>
        </w:rPr>
        <w:t>Фокусот е на зголемување на јавната свес</w:t>
      </w:r>
      <w:r>
        <w:rPr>
          <w:rFonts w:ascii="Times New Roman" w:hAnsi="Times New Roman" w:cs="Times New Roman"/>
          <w:color w:val="auto"/>
          <w:lang w:val="mk-MK"/>
        </w:rPr>
        <w:t>т, заштита од дезинформации и едукација. Стратегијата предвидува планови за подобрување на едукацијата во основното и средното образование за критично размислување и заштита од дезинформации во сајбер просторот — област каде генеративната ВИ игра клучна ул</w:t>
      </w:r>
      <w:r>
        <w:rPr>
          <w:rFonts w:ascii="Times New Roman" w:hAnsi="Times New Roman" w:cs="Times New Roman"/>
          <w:color w:val="auto"/>
          <w:lang w:val="mk-MK"/>
        </w:rPr>
        <w:t>ога (и како закана и како алатка за детекција).</w:t>
      </w:r>
    </w:p>
    <w:p w14:paraId="587CD9DD"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ПО 4: Минимизирање на влијанието на инцидентите</w:t>
      </w:r>
    </w:p>
    <w:p w14:paraId="48BEDFEE"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Оваа област го регулира задолжителното пријавување на значајни инциденти од страна на суштинските и важните субјекти до МКД-ЦИРТ и секторските ЦИРТ тимови. За В</w:t>
      </w:r>
      <w:r>
        <w:rPr>
          <w:rFonts w:ascii="Times New Roman" w:hAnsi="Times New Roman" w:cs="Times New Roman"/>
          <w:color w:val="auto"/>
          <w:lang w:val="mk-MK"/>
        </w:rPr>
        <w:t>И системите, ова наметнува потреба од вградени механизми за автоматска детекција на аномалии и генерирање на логови кои се компатибилни со националниот Систем за соработка и размена на информации.</w:t>
      </w:r>
    </w:p>
    <w:p w14:paraId="5DA195D6"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lastRenderedPageBreak/>
        <w:t>ПО 5: Национална и меѓународна соработка</w:t>
      </w:r>
    </w:p>
    <w:p w14:paraId="1AFE0D8F"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Стратегијата предв</w:t>
      </w:r>
      <w:r>
        <w:rPr>
          <w:rFonts w:ascii="Times New Roman" w:hAnsi="Times New Roman" w:cs="Times New Roman"/>
          <w:color w:val="auto"/>
          <w:lang w:val="mk-MK"/>
        </w:rPr>
        <w:t xml:space="preserve">идува засилена соработка со НАТО, ЕУ, Интерпол и Европол, како и формирање на Постојана работна група за соработка на МВР со Националниот и Владиниот </w:t>
      </w:r>
      <w:r>
        <w:rPr>
          <w:rFonts w:ascii="Times New Roman" w:hAnsi="Times New Roman" w:cs="Times New Roman"/>
          <w:i/>
          <w:iCs/>
          <w:color w:val="auto"/>
          <w:lang w:val="mk-MK"/>
        </w:rPr>
        <w:t>CSIRT</w:t>
      </w:r>
      <w:r>
        <w:rPr>
          <w:rFonts w:ascii="Times New Roman" w:hAnsi="Times New Roman" w:cs="Times New Roman"/>
          <w:color w:val="auto"/>
          <w:lang w:val="mk-MK"/>
        </w:rPr>
        <w:t>. Ова е клучно за размена на информации за нови вектори на напади кои користат ВИ (на пр. лажни содрж</w:t>
      </w:r>
      <w:r>
        <w:rPr>
          <w:rFonts w:ascii="Times New Roman" w:hAnsi="Times New Roman" w:cs="Times New Roman"/>
          <w:color w:val="auto"/>
          <w:lang w:val="mk-MK"/>
        </w:rPr>
        <w:t xml:space="preserve">ини - </w:t>
      </w:r>
      <w:r>
        <w:rPr>
          <w:rFonts w:ascii="Times New Roman" w:hAnsi="Times New Roman" w:cs="Times New Roman"/>
          <w:i/>
          <w:iCs/>
          <w:color w:val="auto"/>
          <w:lang w:val="mk-MK"/>
        </w:rPr>
        <w:t>deepfakes</w:t>
      </w:r>
      <w:r>
        <w:rPr>
          <w:rFonts w:ascii="Times New Roman" w:hAnsi="Times New Roman" w:cs="Times New Roman"/>
          <w:color w:val="auto"/>
          <w:lang w:val="mk-MK"/>
        </w:rPr>
        <w:t>, автоматизиран фишинг,  автоматизирано хакирање).</w:t>
      </w:r>
    </w:p>
    <w:p w14:paraId="1F5AE01F" w14:textId="77777777" w:rsidR="00FE200F" w:rsidRDefault="00FE200F">
      <w:pPr>
        <w:jc w:val="both"/>
        <w:rPr>
          <w:rFonts w:ascii="Times New Roman" w:hAnsi="Times New Roman" w:cs="Times New Roman"/>
          <w:color w:val="auto"/>
          <w:lang w:val="mk-MK"/>
        </w:rPr>
      </w:pPr>
    </w:p>
    <w:tbl>
      <w:tblPr>
        <w:tblStyle w:val="GridTable5Dark-Accent5"/>
        <w:tblW w:w="9209" w:type="dxa"/>
        <w:shd w:val="clear" w:color="auto" w:fill="DAEEF3"/>
        <w:tblLayout w:type="fixed"/>
        <w:tblLook w:val="04A0" w:firstRow="1" w:lastRow="0" w:firstColumn="1" w:lastColumn="0" w:noHBand="0" w:noVBand="1"/>
      </w:tblPr>
      <w:tblGrid>
        <w:gridCol w:w="2547"/>
        <w:gridCol w:w="3213"/>
        <w:gridCol w:w="3449"/>
      </w:tblGrid>
      <w:tr w:rsidR="00FE200F" w14:paraId="7B454C99" w14:textId="77777777" w:rsidTr="00FE20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7C54CF70" w14:textId="77777777" w:rsidR="00FE200F" w:rsidRDefault="00E77CAF">
            <w:pPr>
              <w:rPr>
                <w:rFonts w:ascii="Times New Roman" w:hAnsi="Times New Roman" w:cs="Times New Roman"/>
                <w:lang w:val="mk-MK"/>
              </w:rPr>
            </w:pPr>
            <w:r>
              <w:rPr>
                <w:rFonts w:ascii="Times New Roman" w:hAnsi="Times New Roman" w:cs="Times New Roman"/>
                <w:color w:val="auto"/>
                <w:sz w:val="20"/>
                <w:lang w:val="mk-MK"/>
              </w:rPr>
              <w:t>Приоритетна област</w:t>
            </w:r>
          </w:p>
        </w:tc>
        <w:tc>
          <w:tcPr>
            <w:tcW w:w="3213" w:type="dxa"/>
            <w:tcBorders>
              <w:bottom w:val="nil"/>
            </w:tcBorders>
          </w:tcPr>
          <w:p w14:paraId="5CA6F525" w14:textId="77777777" w:rsidR="00FE200F" w:rsidRDefault="00E77CA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lang w:val="mk-MK"/>
              </w:rPr>
              <w:t>Клучни мерки и таргети</w:t>
            </w:r>
          </w:p>
        </w:tc>
        <w:tc>
          <w:tcPr>
            <w:tcW w:w="3449" w:type="dxa"/>
            <w:tcBorders>
              <w:bottom w:val="nil"/>
            </w:tcBorders>
          </w:tcPr>
          <w:p w14:paraId="0C177738" w14:textId="77777777" w:rsidR="00FE200F" w:rsidRDefault="00E77CA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lang w:val="mk-MK"/>
              </w:rPr>
              <w:t>Релевантност за Националната ВИ Стратегија</w:t>
            </w:r>
          </w:p>
        </w:tc>
      </w:tr>
      <w:tr w:rsidR="00FE200F" w14:paraId="63A00068"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right w:val="nil"/>
            </w:tcBorders>
          </w:tcPr>
          <w:p w14:paraId="2C987EB2" w14:textId="77777777" w:rsidR="00FE200F" w:rsidRDefault="00E77CAF">
            <w:pPr>
              <w:rPr>
                <w:rFonts w:ascii="Times New Roman" w:hAnsi="Times New Roman" w:cs="Times New Roman"/>
                <w:lang w:val="mk-MK"/>
              </w:rPr>
            </w:pPr>
            <w:r>
              <w:rPr>
                <w:rFonts w:ascii="Times New Roman" w:hAnsi="Times New Roman" w:cs="Times New Roman"/>
                <w:color w:val="auto"/>
                <w:sz w:val="20"/>
                <w:lang w:val="mk-MK"/>
              </w:rPr>
              <w:t>ПО 1: Национални капацитети</w:t>
            </w:r>
          </w:p>
        </w:tc>
        <w:tc>
          <w:tcPr>
            <w:tcW w:w="3213" w:type="dxa"/>
          </w:tcPr>
          <w:p w14:paraId="714148E7"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lang w:val="mk-MK"/>
              </w:rPr>
              <w:t>Сектор за сајбер-безбедност во МДТ; МКД-ЦИРТ</w:t>
            </w:r>
          </w:p>
        </w:tc>
        <w:tc>
          <w:tcPr>
            <w:tcW w:w="3449" w:type="dxa"/>
          </w:tcPr>
          <w:p w14:paraId="7096C8BD"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lang w:val="mk-MK"/>
              </w:rPr>
              <w:t xml:space="preserve">Институционална рамка за </w:t>
            </w:r>
            <w:r>
              <w:rPr>
                <w:rFonts w:ascii="Times New Roman" w:hAnsi="Times New Roman" w:cs="Times New Roman"/>
                <w:color w:val="auto"/>
                <w:sz w:val="20"/>
                <w:lang w:val="mk-MK"/>
              </w:rPr>
              <w:t>надзор над безбедноста на ВИ системите во јавниот сектор.</w:t>
            </w:r>
          </w:p>
        </w:tc>
      </w:tr>
      <w:tr w:rsidR="00FE200F" w14:paraId="43C999A2" w14:textId="77777777" w:rsidTr="00FE200F">
        <w:tc>
          <w:tcPr>
            <w:cnfStyle w:val="001000000000" w:firstRow="0" w:lastRow="0" w:firstColumn="1" w:lastColumn="0" w:oddVBand="0" w:evenVBand="0" w:oddHBand="0" w:evenHBand="0" w:firstRowFirstColumn="0" w:firstRowLastColumn="0" w:lastRowFirstColumn="0" w:lastRowLastColumn="0"/>
            <w:tcW w:w="2547" w:type="dxa"/>
            <w:tcBorders>
              <w:right w:val="nil"/>
            </w:tcBorders>
          </w:tcPr>
          <w:p w14:paraId="0C3C7877" w14:textId="77777777" w:rsidR="00FE200F" w:rsidRDefault="00E77CAF">
            <w:pPr>
              <w:rPr>
                <w:rFonts w:ascii="Times New Roman" w:hAnsi="Times New Roman" w:cs="Times New Roman"/>
                <w:lang w:val="mk-MK"/>
              </w:rPr>
            </w:pPr>
            <w:r>
              <w:rPr>
                <w:rFonts w:ascii="Times New Roman" w:hAnsi="Times New Roman" w:cs="Times New Roman"/>
                <w:color w:val="auto"/>
                <w:sz w:val="20"/>
                <w:lang w:val="mk-MK"/>
              </w:rPr>
              <w:t>ПО 2: Критична инфраструктура</w:t>
            </w:r>
          </w:p>
        </w:tc>
        <w:tc>
          <w:tcPr>
            <w:tcW w:w="3213" w:type="dxa"/>
          </w:tcPr>
          <w:p w14:paraId="06E6292D"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lang w:val="mk-MK"/>
              </w:rPr>
              <w:t>Минимални технички мерки (</w:t>
            </w:r>
            <w:r>
              <w:rPr>
                <w:rFonts w:ascii="Times New Roman" w:hAnsi="Times New Roman" w:cs="Times New Roman"/>
                <w:i/>
                <w:iCs/>
                <w:color w:val="auto"/>
                <w:sz w:val="20"/>
                <w:lang w:val="mk-MK"/>
              </w:rPr>
              <w:t>ISO/NIST</w:t>
            </w:r>
            <w:r>
              <w:rPr>
                <w:rFonts w:ascii="Times New Roman" w:hAnsi="Times New Roman" w:cs="Times New Roman"/>
                <w:color w:val="auto"/>
                <w:sz w:val="20"/>
                <w:lang w:val="mk-MK"/>
              </w:rPr>
              <w:t>); Регистри на технологии</w:t>
            </w:r>
          </w:p>
        </w:tc>
        <w:tc>
          <w:tcPr>
            <w:tcW w:w="3449" w:type="dxa"/>
          </w:tcPr>
          <w:p w14:paraId="46C662D0"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b/>
                <w:color w:val="auto"/>
                <w:sz w:val="20"/>
                <w:lang w:val="mk-MK"/>
              </w:rPr>
              <w:t>Директна врска:</w:t>
            </w:r>
            <w:r>
              <w:rPr>
                <w:rFonts w:ascii="Times New Roman" w:hAnsi="Times New Roman" w:cs="Times New Roman"/>
                <w:color w:val="auto"/>
                <w:sz w:val="20"/>
                <w:lang w:val="mk-MK"/>
              </w:rPr>
              <w:t xml:space="preserve"> Експлицитна промоција на ВИ и машинско учење за сајбер одбрана; строги правила за јавни набавки на ВИ.</w:t>
            </w:r>
          </w:p>
        </w:tc>
      </w:tr>
      <w:tr w:rsidR="00FE200F" w14:paraId="61111B60"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right w:val="nil"/>
            </w:tcBorders>
          </w:tcPr>
          <w:p w14:paraId="2817AE0D" w14:textId="77777777" w:rsidR="00FE200F" w:rsidRDefault="00E77CAF">
            <w:pPr>
              <w:rPr>
                <w:rFonts w:ascii="Times New Roman" w:hAnsi="Times New Roman" w:cs="Times New Roman"/>
                <w:lang w:val="mk-MK"/>
              </w:rPr>
            </w:pPr>
            <w:r>
              <w:rPr>
                <w:rFonts w:ascii="Times New Roman" w:hAnsi="Times New Roman" w:cs="Times New Roman"/>
                <w:color w:val="auto"/>
                <w:sz w:val="20"/>
                <w:lang w:val="mk-MK"/>
              </w:rPr>
              <w:t>ПО 3: Отпорно општество</w:t>
            </w:r>
          </w:p>
        </w:tc>
        <w:tc>
          <w:tcPr>
            <w:tcW w:w="3213" w:type="dxa"/>
          </w:tcPr>
          <w:p w14:paraId="2F7CE62A"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lang w:val="mk-MK"/>
              </w:rPr>
              <w:t>Едукација против дезинформации; Јавна свест</w:t>
            </w:r>
          </w:p>
        </w:tc>
        <w:tc>
          <w:tcPr>
            <w:tcW w:w="3449" w:type="dxa"/>
          </w:tcPr>
          <w:p w14:paraId="6596B0FF"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lang w:val="mk-MK"/>
              </w:rPr>
              <w:t>Потреба од ВИ алатки за детекција на дезинформации и лажни содржини (</w:t>
            </w:r>
            <w:r>
              <w:rPr>
                <w:rFonts w:ascii="Times New Roman" w:hAnsi="Times New Roman" w:cs="Times New Roman"/>
                <w:i/>
                <w:iCs/>
                <w:color w:val="auto"/>
                <w:sz w:val="20"/>
                <w:lang w:val="mk-MK"/>
              </w:rPr>
              <w:t>deepfakes)</w:t>
            </w:r>
            <w:r>
              <w:rPr>
                <w:rFonts w:ascii="Times New Roman" w:hAnsi="Times New Roman" w:cs="Times New Roman"/>
                <w:color w:val="auto"/>
                <w:sz w:val="20"/>
                <w:lang w:val="mk-MK"/>
              </w:rPr>
              <w:t>.</w:t>
            </w:r>
          </w:p>
        </w:tc>
      </w:tr>
      <w:tr w:rsidR="00FE200F" w14:paraId="3E34CDD8" w14:textId="77777777" w:rsidTr="00FE200F">
        <w:tc>
          <w:tcPr>
            <w:cnfStyle w:val="001000000000" w:firstRow="0" w:lastRow="0" w:firstColumn="1" w:lastColumn="0" w:oddVBand="0" w:evenVBand="0" w:oddHBand="0" w:evenHBand="0" w:firstRowFirstColumn="0" w:firstRowLastColumn="0" w:lastRowFirstColumn="0" w:lastRowLastColumn="0"/>
            <w:tcW w:w="2547" w:type="dxa"/>
            <w:tcBorders>
              <w:right w:val="nil"/>
            </w:tcBorders>
          </w:tcPr>
          <w:p w14:paraId="68540B90" w14:textId="77777777" w:rsidR="00FE200F" w:rsidRDefault="00E77CAF">
            <w:pPr>
              <w:rPr>
                <w:rFonts w:ascii="Times New Roman" w:hAnsi="Times New Roman" w:cs="Times New Roman"/>
                <w:lang w:val="mk-MK"/>
              </w:rPr>
            </w:pPr>
            <w:r>
              <w:rPr>
                <w:rFonts w:ascii="Times New Roman" w:hAnsi="Times New Roman" w:cs="Times New Roman"/>
                <w:color w:val="auto"/>
                <w:sz w:val="20"/>
                <w:lang w:val="mk-MK"/>
              </w:rPr>
              <w:t>П</w:t>
            </w:r>
            <w:r>
              <w:rPr>
                <w:rFonts w:ascii="Times New Roman" w:hAnsi="Times New Roman" w:cs="Times New Roman"/>
                <w:color w:val="auto"/>
                <w:sz w:val="20"/>
                <w:lang w:val="mk-MK"/>
              </w:rPr>
              <w:t>О 4: Одговор на инциденти</w:t>
            </w:r>
          </w:p>
        </w:tc>
        <w:tc>
          <w:tcPr>
            <w:tcW w:w="3213" w:type="dxa"/>
          </w:tcPr>
          <w:p w14:paraId="7B4C7D68"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lang w:val="mk-MK"/>
              </w:rPr>
              <w:t xml:space="preserve">Задолжително пријавување инциденти; </w:t>
            </w:r>
            <w:r>
              <w:rPr>
                <w:rFonts w:ascii="Times New Roman" w:hAnsi="Times New Roman" w:cs="Times New Roman"/>
                <w:i/>
                <w:iCs/>
                <w:color w:val="auto"/>
                <w:sz w:val="20"/>
                <w:lang w:val="mk-MK"/>
              </w:rPr>
              <w:t>CSIRT</w:t>
            </w:r>
            <w:r>
              <w:rPr>
                <w:rFonts w:ascii="Times New Roman" w:hAnsi="Times New Roman" w:cs="Times New Roman"/>
                <w:color w:val="auto"/>
                <w:sz w:val="20"/>
                <w:lang w:val="mk-MK"/>
              </w:rPr>
              <w:t xml:space="preserve"> мрежа</w:t>
            </w:r>
          </w:p>
        </w:tc>
        <w:tc>
          <w:tcPr>
            <w:tcW w:w="3449" w:type="dxa"/>
          </w:tcPr>
          <w:p w14:paraId="407406C7"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lang w:val="mk-MK"/>
              </w:rPr>
              <w:t>ВИ системите мора да имаат вградени механизми за детекција на аномалии и известување.</w:t>
            </w:r>
          </w:p>
        </w:tc>
      </w:tr>
      <w:tr w:rsidR="00FE200F" w14:paraId="737419F0"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right w:val="nil"/>
            </w:tcBorders>
          </w:tcPr>
          <w:p w14:paraId="0AC9B13D" w14:textId="77777777" w:rsidR="00FE200F" w:rsidRDefault="00E77CAF">
            <w:pPr>
              <w:rPr>
                <w:rFonts w:ascii="Times New Roman" w:hAnsi="Times New Roman" w:cs="Times New Roman"/>
                <w:lang w:val="mk-MK"/>
              </w:rPr>
            </w:pPr>
            <w:r>
              <w:rPr>
                <w:rFonts w:ascii="Times New Roman" w:hAnsi="Times New Roman" w:cs="Times New Roman"/>
                <w:color w:val="auto"/>
                <w:sz w:val="20"/>
                <w:lang w:val="mk-MK"/>
              </w:rPr>
              <w:t>ПО 5: Меѓународна соработка</w:t>
            </w:r>
          </w:p>
        </w:tc>
        <w:tc>
          <w:tcPr>
            <w:tcW w:w="3213" w:type="dxa"/>
          </w:tcPr>
          <w:p w14:paraId="76A1157F"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lang w:val="mk-MK"/>
              </w:rPr>
              <w:t>Соработка со НАТО, ЕУ, Интерпол; Работна група со МВР</w:t>
            </w:r>
          </w:p>
        </w:tc>
        <w:tc>
          <w:tcPr>
            <w:tcW w:w="3449" w:type="dxa"/>
          </w:tcPr>
          <w:p w14:paraId="1CC2AD03"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lang w:val="mk-MK"/>
              </w:rPr>
              <w:t>Размена на ра</w:t>
            </w:r>
            <w:r>
              <w:rPr>
                <w:rFonts w:ascii="Times New Roman" w:hAnsi="Times New Roman" w:cs="Times New Roman"/>
                <w:color w:val="auto"/>
                <w:sz w:val="20"/>
                <w:lang w:val="mk-MK"/>
              </w:rPr>
              <w:t>зузнавачки податоци за ВИ-генерирани сајбер закани.</w:t>
            </w:r>
          </w:p>
        </w:tc>
      </w:tr>
    </w:tbl>
    <w:p w14:paraId="481401D3" w14:textId="77777777" w:rsidR="00FE200F" w:rsidRDefault="00FE200F">
      <w:pPr>
        <w:jc w:val="both"/>
        <w:rPr>
          <w:rFonts w:ascii="Times New Roman" w:hAnsi="Times New Roman" w:cs="Times New Roman"/>
          <w:b/>
          <w:color w:val="auto"/>
          <w:lang w:val="mk-MK"/>
        </w:rPr>
      </w:pPr>
    </w:p>
    <w:p w14:paraId="4296DC3C"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 xml:space="preserve">Препораки за </w:t>
      </w:r>
      <w:r>
        <w:rPr>
          <w:rFonts w:ascii="Times New Roman" w:hAnsi="Times New Roman" w:cs="Times New Roman"/>
          <w:b/>
          <w:bCs/>
          <w:color w:val="auto"/>
          <w:lang w:val="mk-MK"/>
        </w:rPr>
        <w:t>Стратегијата за употреба на ВИ</w:t>
      </w:r>
      <w:r>
        <w:rPr>
          <w:rFonts w:ascii="Times New Roman" w:hAnsi="Times New Roman" w:cs="Times New Roman"/>
          <w:b/>
          <w:color w:val="auto"/>
          <w:lang w:val="mk-MK"/>
        </w:rPr>
        <w:t>:</w:t>
      </w:r>
    </w:p>
    <w:p w14:paraId="308BC8CF" w14:textId="77777777" w:rsidR="00FE200F" w:rsidRDefault="00E77CAF">
      <w:pPr>
        <w:pStyle w:val="ListParagraph"/>
        <w:numPr>
          <w:ilvl w:val="0"/>
          <w:numId w:val="10"/>
        </w:numPr>
        <w:jc w:val="both"/>
        <w:rPr>
          <w:rFonts w:ascii="Times New Roman" w:hAnsi="Times New Roman" w:cs="Times New Roman"/>
          <w:lang w:val="mk-MK"/>
        </w:rPr>
      </w:pPr>
      <w:r>
        <w:rPr>
          <w:rFonts w:ascii="Times New Roman" w:hAnsi="Times New Roman" w:cs="Times New Roman"/>
          <w:b/>
          <w:color w:val="auto"/>
          <w:lang w:val="mk-MK"/>
        </w:rPr>
        <w:t>ВИ како двоен предизвик (Напад и Одбрана):</w:t>
      </w:r>
      <w:r>
        <w:rPr>
          <w:rFonts w:ascii="Times New Roman" w:hAnsi="Times New Roman" w:cs="Times New Roman"/>
          <w:color w:val="auto"/>
          <w:lang w:val="mk-MK"/>
        </w:rPr>
        <w:t xml:space="preserve"> ВИ стратегијата мора да го рефлектира ставот од Сајбер-стратегијата, односно ВИ е истовремено алатка за заштита (автоматизирана детекција на закани) и нов вектор за напади (социјален инженеринг, автоматизирани напади).</w:t>
      </w:r>
    </w:p>
    <w:p w14:paraId="7DA36CF6" w14:textId="77777777" w:rsidR="00FE200F" w:rsidRDefault="00E77CAF">
      <w:pPr>
        <w:pStyle w:val="ListParagraph"/>
        <w:numPr>
          <w:ilvl w:val="0"/>
          <w:numId w:val="10"/>
        </w:numPr>
        <w:jc w:val="both"/>
        <w:rPr>
          <w:rFonts w:ascii="Times New Roman" w:hAnsi="Times New Roman" w:cs="Times New Roman"/>
          <w:lang w:val="mk-MK"/>
        </w:rPr>
      </w:pPr>
      <w:r>
        <w:rPr>
          <w:rFonts w:ascii="Times New Roman" w:hAnsi="Times New Roman" w:cs="Times New Roman"/>
          <w:b/>
          <w:color w:val="auto"/>
          <w:lang w:val="mk-MK"/>
        </w:rPr>
        <w:t>Усогласување со Минималните стандард</w:t>
      </w:r>
      <w:r>
        <w:rPr>
          <w:rFonts w:ascii="Times New Roman" w:hAnsi="Times New Roman" w:cs="Times New Roman"/>
          <w:b/>
          <w:color w:val="auto"/>
          <w:lang w:val="mk-MK"/>
        </w:rPr>
        <w:t>и:</w:t>
      </w:r>
      <w:r>
        <w:rPr>
          <w:rFonts w:ascii="Times New Roman" w:hAnsi="Times New Roman" w:cs="Times New Roman"/>
          <w:color w:val="auto"/>
          <w:lang w:val="mk-MK"/>
        </w:rPr>
        <w:t xml:space="preserve"> Сите ВИ системи развиени или набавени од јавниот сектор мора да бидат усогласени со идните обврзувачки Минимални технички и организациски мерки (базирани на </w:t>
      </w:r>
      <w:r>
        <w:rPr>
          <w:rFonts w:ascii="Times New Roman" w:hAnsi="Times New Roman" w:cs="Times New Roman"/>
          <w:i/>
          <w:iCs/>
          <w:color w:val="auto"/>
          <w:lang w:val="mk-MK"/>
        </w:rPr>
        <w:t>ISO/NIST</w:t>
      </w:r>
      <w:r>
        <w:rPr>
          <w:rFonts w:ascii="Times New Roman" w:hAnsi="Times New Roman" w:cs="Times New Roman"/>
          <w:color w:val="auto"/>
          <w:lang w:val="mk-MK"/>
        </w:rPr>
        <w:t>) предвидени во ПО2.</w:t>
      </w:r>
    </w:p>
    <w:p w14:paraId="01980950" w14:textId="77777777" w:rsidR="00FE200F" w:rsidRDefault="00E77CAF">
      <w:pPr>
        <w:pStyle w:val="ListParagraph"/>
        <w:numPr>
          <w:ilvl w:val="0"/>
          <w:numId w:val="10"/>
        </w:numPr>
        <w:jc w:val="both"/>
        <w:rPr>
          <w:rFonts w:ascii="Times New Roman" w:hAnsi="Times New Roman" w:cs="Times New Roman"/>
          <w:lang w:val="mk-MK"/>
        </w:rPr>
      </w:pPr>
      <w:r>
        <w:rPr>
          <w:rFonts w:ascii="Times New Roman" w:hAnsi="Times New Roman" w:cs="Times New Roman"/>
          <w:b/>
          <w:color w:val="auto"/>
          <w:lang w:val="mk-MK"/>
        </w:rPr>
        <w:t>Интеграција во јавните набавки:</w:t>
      </w:r>
      <w:r>
        <w:rPr>
          <w:rFonts w:ascii="Times New Roman" w:hAnsi="Times New Roman" w:cs="Times New Roman"/>
          <w:color w:val="auto"/>
          <w:lang w:val="mk-MK"/>
        </w:rPr>
        <w:t xml:space="preserve"> Да се искористи мерката од ПО2 за вклучување на сајбер безбедносни барања во јавните набавки за да се осигура дека набавените ВИ решенија (особено во критичната инфраструктура) се сертифицирани и безбедни.</w:t>
      </w:r>
    </w:p>
    <w:p w14:paraId="40AA03C6" w14:textId="77777777" w:rsidR="00FE200F" w:rsidRDefault="00E77CAF">
      <w:pPr>
        <w:pStyle w:val="ListParagraph"/>
        <w:numPr>
          <w:ilvl w:val="0"/>
          <w:numId w:val="10"/>
        </w:numPr>
        <w:jc w:val="both"/>
        <w:rPr>
          <w:rFonts w:ascii="Times New Roman" w:hAnsi="Times New Roman" w:cs="Times New Roman"/>
          <w:lang w:val="mk-MK"/>
        </w:rPr>
      </w:pPr>
      <w:r>
        <w:rPr>
          <w:rFonts w:ascii="Times New Roman" w:hAnsi="Times New Roman" w:cs="Times New Roman"/>
          <w:b/>
          <w:color w:val="auto"/>
          <w:lang w:val="mk-MK"/>
        </w:rPr>
        <w:t>Заеднички капацитети за детекција на дезинформаци</w:t>
      </w:r>
      <w:r>
        <w:rPr>
          <w:rFonts w:ascii="Times New Roman" w:hAnsi="Times New Roman" w:cs="Times New Roman"/>
          <w:b/>
          <w:color w:val="auto"/>
          <w:lang w:val="mk-MK"/>
        </w:rPr>
        <w:t>и:</w:t>
      </w:r>
      <w:r>
        <w:rPr>
          <w:rFonts w:ascii="Times New Roman" w:hAnsi="Times New Roman" w:cs="Times New Roman"/>
          <w:color w:val="auto"/>
          <w:lang w:val="mk-MK"/>
        </w:rPr>
        <w:t xml:space="preserve"> Да се поврзат целите од ПО3 (заштита од дезинформации) со развојот на домашни ВИ модели за македонски јазик кои ќе можат автоматски да детектираат малициозни кампањи.</w:t>
      </w:r>
    </w:p>
    <w:p w14:paraId="555FA83C" w14:textId="77777777" w:rsidR="00FE200F" w:rsidRDefault="00FE200F">
      <w:pPr>
        <w:pStyle w:val="ListParagraph"/>
        <w:jc w:val="both"/>
        <w:rPr>
          <w:rFonts w:ascii="Times New Roman" w:hAnsi="Times New Roman" w:cs="Times New Roman"/>
          <w:color w:val="auto"/>
          <w:lang w:val="mk-MK"/>
        </w:rPr>
      </w:pPr>
    </w:p>
    <w:p w14:paraId="51C5DAEA" w14:textId="77777777" w:rsidR="00FE200F" w:rsidRDefault="00E77CAF">
      <w:pPr>
        <w:pStyle w:val="Heading3"/>
        <w:jc w:val="both"/>
        <w:rPr>
          <w:rFonts w:ascii="Times New Roman" w:hAnsi="Times New Roman" w:cs="Times New Roman"/>
          <w:lang w:val="mk-MK"/>
        </w:rPr>
      </w:pPr>
      <w:bookmarkStart w:id="23" w:name="_Toc240630037"/>
      <w:bookmarkStart w:id="24" w:name="_Toc243907980"/>
      <w:r>
        <w:rPr>
          <w:rFonts w:ascii="Times New Roman" w:hAnsi="Times New Roman" w:cs="Times New Roman"/>
          <w:color w:val="auto"/>
          <w:lang w:val="mk-MK"/>
        </w:rPr>
        <w:lastRenderedPageBreak/>
        <w:t>2.5 Стратегија за реформа на јавната администрација 2023–2030 (РЈА)</w:t>
      </w:r>
      <w:bookmarkEnd w:id="23"/>
      <w:bookmarkEnd w:id="24"/>
    </w:p>
    <w:p w14:paraId="2E6C2A09"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Стратегијата за р</w:t>
      </w:r>
      <w:r>
        <w:rPr>
          <w:rFonts w:ascii="Times New Roman" w:hAnsi="Times New Roman" w:cs="Times New Roman"/>
          <w:color w:val="auto"/>
          <w:lang w:val="mk-MK"/>
        </w:rPr>
        <w:t>еформа на јавната администрација 2023–2030 (РЈА) претставува темелен документ кој ги дефинира условите за дигитализација на јавниот сектор, што е основен предуслов за успешна имплементација на вештачката интелигенција во државните институции. Без дигитализ</w:t>
      </w:r>
      <w:r>
        <w:rPr>
          <w:rFonts w:ascii="Times New Roman" w:hAnsi="Times New Roman" w:cs="Times New Roman"/>
          <w:color w:val="auto"/>
          <w:lang w:val="mk-MK"/>
        </w:rPr>
        <w:t>ирани процеси и електронски регистри, примената на ВИ во јавната администрација е невозможна.</w:t>
      </w:r>
    </w:p>
    <w:p w14:paraId="06956BBF"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Најрелевантна за ВИ е </w:t>
      </w:r>
      <w:r>
        <w:rPr>
          <w:rFonts w:ascii="Times New Roman" w:hAnsi="Times New Roman" w:cs="Times New Roman"/>
          <w:b/>
          <w:color w:val="auto"/>
          <w:lang w:val="mk-MK"/>
        </w:rPr>
        <w:t>Приоритетната област 4: Давање услуги и Дигитална трансформација</w:t>
      </w:r>
      <w:r>
        <w:rPr>
          <w:rFonts w:ascii="Times New Roman" w:hAnsi="Times New Roman" w:cs="Times New Roman"/>
          <w:color w:val="auto"/>
          <w:lang w:val="mk-MK"/>
        </w:rPr>
        <w:t>, чија општа цел е „Дигитализирана јавна администрација“. Оваа област е стру</w:t>
      </w:r>
      <w:r>
        <w:rPr>
          <w:rFonts w:ascii="Times New Roman" w:hAnsi="Times New Roman" w:cs="Times New Roman"/>
          <w:color w:val="auto"/>
          <w:lang w:val="mk-MK"/>
        </w:rPr>
        <w:t>ктурирана преку три посебни цели кои директно го трасираат патот за ВИ:</w:t>
      </w:r>
    </w:p>
    <w:p w14:paraId="2D533503"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Посебна цел 4.1: Дигитална средина за подобро работење на администрацијата</w:t>
      </w:r>
    </w:p>
    <w:p w14:paraId="6C257786"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Оваа цел се фокусира на воспоставување на „</w:t>
      </w:r>
      <w:r>
        <w:rPr>
          <w:rFonts w:ascii="Times New Roman" w:hAnsi="Times New Roman" w:cs="Times New Roman"/>
          <w:i/>
          <w:iCs/>
          <w:color w:val="auto"/>
          <w:lang w:val="mk-MK"/>
        </w:rPr>
        <w:t>SMART</w:t>
      </w:r>
      <w:r>
        <w:rPr>
          <w:rFonts w:ascii="Times New Roman" w:hAnsi="Times New Roman" w:cs="Times New Roman"/>
          <w:color w:val="auto"/>
          <w:lang w:val="mk-MK"/>
        </w:rPr>
        <w:t xml:space="preserve"> околина“ во работењето на администрацијата. Клучните мерки в</w:t>
      </w:r>
      <w:r>
        <w:rPr>
          <w:rFonts w:ascii="Times New Roman" w:hAnsi="Times New Roman" w:cs="Times New Roman"/>
          <w:color w:val="auto"/>
          <w:lang w:val="mk-MK"/>
        </w:rPr>
        <w:t>клучуваат:</w:t>
      </w:r>
    </w:p>
    <w:p w14:paraId="74673BCC" w14:textId="77777777" w:rsidR="00FE200F" w:rsidRDefault="00E77CAF">
      <w:pPr>
        <w:pStyle w:val="ListBullet"/>
        <w:jc w:val="both"/>
        <w:rPr>
          <w:rFonts w:ascii="Times New Roman" w:hAnsi="Times New Roman" w:cs="Times New Roman"/>
          <w:lang w:val="mk-MK"/>
        </w:rPr>
      </w:pPr>
      <w:r>
        <w:rPr>
          <w:rFonts w:ascii="Times New Roman" w:hAnsi="Times New Roman" w:cs="Times New Roman"/>
          <w:b/>
          <w:color w:val="auto"/>
          <w:lang w:val="mk-MK"/>
        </w:rPr>
        <w:t>Унапредување на платформата за интероперабилност:</w:t>
      </w:r>
      <w:r>
        <w:rPr>
          <w:rFonts w:ascii="Times New Roman" w:hAnsi="Times New Roman" w:cs="Times New Roman"/>
          <w:color w:val="auto"/>
          <w:lang w:val="mk-MK"/>
        </w:rPr>
        <w:t xml:space="preserve"> Планирано е зголемување на бројот на трансакции на платформата од 1,48 милиони (2022) на 7 милиони до 2030 година. Оваа платформа е крвотокот за размена на податоци меѓу институциите, што е клучн</w:t>
      </w:r>
      <w:r>
        <w:rPr>
          <w:rFonts w:ascii="Times New Roman" w:hAnsi="Times New Roman" w:cs="Times New Roman"/>
          <w:color w:val="auto"/>
          <w:lang w:val="mk-MK"/>
        </w:rPr>
        <w:t>о за ВИ системите кои бараат податоци од повеќе извори.</w:t>
      </w:r>
    </w:p>
    <w:p w14:paraId="376E0582" w14:textId="77777777" w:rsidR="00FE200F" w:rsidRDefault="00E77CAF">
      <w:pPr>
        <w:pStyle w:val="ListBullet"/>
        <w:jc w:val="both"/>
        <w:rPr>
          <w:rFonts w:ascii="Times New Roman" w:hAnsi="Times New Roman" w:cs="Times New Roman"/>
          <w:lang w:val="mk-MK"/>
        </w:rPr>
      </w:pPr>
      <w:r>
        <w:rPr>
          <w:rFonts w:ascii="Times New Roman" w:hAnsi="Times New Roman" w:cs="Times New Roman"/>
          <w:b/>
          <w:color w:val="auto"/>
          <w:lang w:val="mk-MK"/>
        </w:rPr>
        <w:t>Унифициран ДМС систем:</w:t>
      </w:r>
      <w:r>
        <w:rPr>
          <w:rFonts w:ascii="Times New Roman" w:hAnsi="Times New Roman" w:cs="Times New Roman"/>
          <w:color w:val="auto"/>
          <w:lang w:val="mk-MK"/>
        </w:rPr>
        <w:t xml:space="preserve"> Воведување на Систем за управување со документи (ДМС) во сите органи на државната управа (таргет: 60 институции до 2030). Дигитализираните документи во ДМС претставуваат основен</w:t>
      </w:r>
      <w:r>
        <w:rPr>
          <w:rFonts w:ascii="Times New Roman" w:hAnsi="Times New Roman" w:cs="Times New Roman"/>
          <w:color w:val="auto"/>
          <w:lang w:val="mk-MK"/>
        </w:rPr>
        <w:t xml:space="preserve"> структуриран податочен сет врз кој во иднина можат да се тренираат ВИ модели за обработка на природни јазици (</w:t>
      </w:r>
      <w:r>
        <w:rPr>
          <w:rFonts w:ascii="Times New Roman" w:hAnsi="Times New Roman" w:cs="Times New Roman"/>
          <w:i/>
          <w:iCs/>
          <w:color w:val="auto"/>
          <w:lang w:val="mk-MK"/>
        </w:rPr>
        <w:t>NLP</w:t>
      </w:r>
      <w:r>
        <w:rPr>
          <w:rFonts w:ascii="Times New Roman" w:hAnsi="Times New Roman" w:cs="Times New Roman"/>
          <w:color w:val="auto"/>
          <w:lang w:val="mk-MK"/>
        </w:rPr>
        <w:t>) за потребите на администрацијата.</w:t>
      </w:r>
    </w:p>
    <w:p w14:paraId="12D62492"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Посебна цел 4.2: Зголемен квалитет и достапност до услугите</w:t>
      </w:r>
    </w:p>
    <w:p w14:paraId="3C45AE6F"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Оваа цел е насочена кон граѓаните и бизнисите,</w:t>
      </w:r>
      <w:r>
        <w:rPr>
          <w:rFonts w:ascii="Times New Roman" w:hAnsi="Times New Roman" w:cs="Times New Roman"/>
          <w:color w:val="auto"/>
          <w:lang w:val="mk-MK"/>
        </w:rPr>
        <w:t xml:space="preserve"> со фокус на електронските услуги:</w:t>
      </w:r>
    </w:p>
    <w:p w14:paraId="5841B768" w14:textId="77777777" w:rsidR="00FE200F" w:rsidRDefault="00E77CAF">
      <w:pPr>
        <w:pStyle w:val="ListBullet"/>
        <w:jc w:val="both"/>
        <w:rPr>
          <w:rFonts w:ascii="Times New Roman" w:hAnsi="Times New Roman" w:cs="Times New Roman"/>
          <w:lang w:val="mk-MK"/>
        </w:rPr>
      </w:pPr>
      <w:r>
        <w:rPr>
          <w:rFonts w:ascii="Times New Roman" w:hAnsi="Times New Roman" w:cs="Times New Roman"/>
          <w:b/>
          <w:color w:val="auto"/>
          <w:lang w:val="mk-MK"/>
        </w:rPr>
        <w:t>Дигитализација на регистрите:</w:t>
      </w:r>
      <w:r>
        <w:rPr>
          <w:rFonts w:ascii="Times New Roman" w:hAnsi="Times New Roman" w:cs="Times New Roman"/>
          <w:color w:val="auto"/>
          <w:lang w:val="mk-MK"/>
        </w:rPr>
        <w:t xml:space="preserve"> Предвидено е воспоставување на 65 дигитални регистри до 2030 година. Оваа миграција од хартиени во дигитални регистри е критичниот чекор за создавање на бази на податоци кои ВИ алгоритмите мо</w:t>
      </w:r>
      <w:r>
        <w:rPr>
          <w:rFonts w:ascii="Times New Roman" w:hAnsi="Times New Roman" w:cs="Times New Roman"/>
          <w:color w:val="auto"/>
          <w:lang w:val="mk-MK"/>
        </w:rPr>
        <w:t>жат да ги анализираат.</w:t>
      </w:r>
    </w:p>
    <w:p w14:paraId="6C25FDE0" w14:textId="77777777" w:rsidR="00FE200F" w:rsidRDefault="00E77CAF">
      <w:pPr>
        <w:pStyle w:val="ListBullet"/>
        <w:jc w:val="both"/>
        <w:rPr>
          <w:rFonts w:ascii="Times New Roman" w:hAnsi="Times New Roman" w:cs="Times New Roman"/>
          <w:lang w:val="mk-MK"/>
        </w:rPr>
      </w:pPr>
      <w:r>
        <w:rPr>
          <w:rFonts w:ascii="Times New Roman" w:hAnsi="Times New Roman" w:cs="Times New Roman"/>
          <w:b/>
          <w:color w:val="auto"/>
          <w:lang w:val="mk-MK"/>
        </w:rPr>
        <w:t>Зголемување на е-услугите:</w:t>
      </w:r>
      <w:r>
        <w:rPr>
          <w:rFonts w:ascii="Times New Roman" w:hAnsi="Times New Roman" w:cs="Times New Roman"/>
          <w:color w:val="auto"/>
          <w:lang w:val="mk-MK"/>
        </w:rPr>
        <w:t xml:space="preserve"> Таргетот е да се достигнат 500 е-услуги на Националниот портал за е-услуги до 2030 година (од базните 95 во 2022). Во иднина, овие е-услуги можат да бидат надоградени со ВИ асистенти (чатботови) за полесна </w:t>
      </w:r>
      <w:r>
        <w:rPr>
          <w:rFonts w:ascii="Times New Roman" w:hAnsi="Times New Roman" w:cs="Times New Roman"/>
          <w:color w:val="auto"/>
          <w:lang w:val="mk-MK"/>
        </w:rPr>
        <w:t>навигација на граѓаните.</w:t>
      </w:r>
    </w:p>
    <w:p w14:paraId="08896633"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Посебна цел 4.3: Отворени податоци (</w:t>
      </w:r>
      <w:r>
        <w:rPr>
          <w:rFonts w:ascii="Times New Roman" w:hAnsi="Times New Roman" w:cs="Times New Roman"/>
          <w:b/>
          <w:i/>
          <w:iCs/>
          <w:color w:val="auto"/>
          <w:lang w:val="mk-MK"/>
        </w:rPr>
        <w:t>Open Data</w:t>
      </w:r>
      <w:r>
        <w:rPr>
          <w:rFonts w:ascii="Times New Roman" w:hAnsi="Times New Roman" w:cs="Times New Roman"/>
          <w:b/>
          <w:color w:val="auto"/>
          <w:lang w:val="mk-MK"/>
        </w:rPr>
        <w:t>)</w:t>
      </w:r>
    </w:p>
    <w:p w14:paraId="1A2274B1"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Отворените податоци се „горивото“ за развој на иновативни ВИ решенија од страна на приватниот сектор и академијата. РЈА предвидува:</w:t>
      </w:r>
    </w:p>
    <w:p w14:paraId="36E36CB0" w14:textId="77777777" w:rsidR="00FE200F" w:rsidRDefault="00E77CAF">
      <w:pPr>
        <w:pStyle w:val="ListBullet"/>
        <w:jc w:val="both"/>
        <w:rPr>
          <w:rFonts w:ascii="Times New Roman" w:hAnsi="Times New Roman" w:cs="Times New Roman"/>
          <w:lang w:val="mk-MK"/>
        </w:rPr>
      </w:pPr>
      <w:r>
        <w:rPr>
          <w:rFonts w:ascii="Times New Roman" w:hAnsi="Times New Roman" w:cs="Times New Roman"/>
          <w:b/>
          <w:color w:val="auto"/>
          <w:lang w:val="mk-MK"/>
        </w:rPr>
        <w:t>Зголемување на бројот на отворени податочни сетови:</w:t>
      </w:r>
      <w:r>
        <w:rPr>
          <w:rFonts w:ascii="Times New Roman" w:hAnsi="Times New Roman" w:cs="Times New Roman"/>
          <w:color w:val="auto"/>
          <w:lang w:val="mk-MK"/>
        </w:rPr>
        <w:t xml:space="preserve"> </w:t>
      </w:r>
      <w:r>
        <w:rPr>
          <w:rFonts w:ascii="Times New Roman" w:hAnsi="Times New Roman" w:cs="Times New Roman"/>
          <w:color w:val="auto"/>
          <w:lang w:val="mk-MK"/>
        </w:rPr>
        <w:t xml:space="preserve">Од 580 сетови во 2022 година, таргетот е да се достигнат над 900 податочни сетови на порталот </w:t>
      </w:r>
      <w:r>
        <w:rPr>
          <w:rFonts w:ascii="Times New Roman" w:hAnsi="Times New Roman" w:cs="Times New Roman"/>
          <w:i/>
          <w:iCs/>
          <w:color w:val="auto"/>
          <w:lang w:val="mk-MK"/>
        </w:rPr>
        <w:t>data.gov.mk</w:t>
      </w:r>
      <w:r>
        <w:rPr>
          <w:rFonts w:ascii="Times New Roman" w:hAnsi="Times New Roman" w:cs="Times New Roman"/>
          <w:color w:val="auto"/>
          <w:lang w:val="mk-MK"/>
        </w:rPr>
        <w:t xml:space="preserve"> до 2030 година.</w:t>
      </w:r>
    </w:p>
    <w:p w14:paraId="4DCD733A" w14:textId="77777777" w:rsidR="00FE200F" w:rsidRDefault="00E77CAF">
      <w:pPr>
        <w:pStyle w:val="ListBullet"/>
        <w:jc w:val="both"/>
        <w:rPr>
          <w:rFonts w:ascii="Times New Roman" w:hAnsi="Times New Roman" w:cs="Times New Roman"/>
          <w:lang w:val="mk-MK"/>
        </w:rPr>
      </w:pPr>
      <w:r>
        <w:rPr>
          <w:rFonts w:ascii="Times New Roman" w:hAnsi="Times New Roman" w:cs="Times New Roman"/>
          <w:b/>
          <w:color w:val="auto"/>
          <w:lang w:val="mk-MK"/>
        </w:rPr>
        <w:t>Усогласување со ЕУ Директивата за отворени податоци (2019/1024):</w:t>
      </w:r>
      <w:r>
        <w:rPr>
          <w:rFonts w:ascii="Times New Roman" w:hAnsi="Times New Roman" w:cs="Times New Roman"/>
          <w:color w:val="auto"/>
          <w:lang w:val="mk-MK"/>
        </w:rPr>
        <w:t xml:space="preserve"> Ова ќе овозможи стандардизиран, машински читлив формат на податоците,</w:t>
      </w:r>
      <w:r>
        <w:rPr>
          <w:rFonts w:ascii="Times New Roman" w:hAnsi="Times New Roman" w:cs="Times New Roman"/>
          <w:color w:val="auto"/>
          <w:lang w:val="mk-MK"/>
        </w:rPr>
        <w:t xml:space="preserve"> што е неопходно за нивно користење во машинско учење.</w:t>
      </w:r>
    </w:p>
    <w:p w14:paraId="5DCA695C" w14:textId="77777777" w:rsidR="00FE200F" w:rsidRDefault="00FE200F">
      <w:pPr>
        <w:pStyle w:val="ListBullet"/>
        <w:numPr>
          <w:ilvl w:val="0"/>
          <w:numId w:val="0"/>
        </w:numPr>
        <w:jc w:val="both"/>
        <w:rPr>
          <w:rFonts w:ascii="Times New Roman" w:hAnsi="Times New Roman" w:cs="Times New Roman"/>
          <w:color w:val="auto"/>
          <w:lang w:val="mk-MK"/>
        </w:rPr>
      </w:pPr>
    </w:p>
    <w:p w14:paraId="3938E0D7"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lastRenderedPageBreak/>
        <w:t>Индикатори за успешност (Поврзаност со меѓународни индекси):</w:t>
      </w:r>
    </w:p>
    <w:p w14:paraId="56165997"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РЈА поставува амбициозни таргети за меѓународно рангирање, кои директно ќе влијаат и на подготвеноста за ВИ:</w:t>
      </w:r>
    </w:p>
    <w:tbl>
      <w:tblPr>
        <w:tblStyle w:val="GridTable5Dark-Accent5"/>
        <w:tblW w:w="9112" w:type="dxa"/>
        <w:shd w:val="clear" w:color="auto" w:fill="DAEEF3"/>
        <w:tblLayout w:type="fixed"/>
        <w:tblLook w:val="04A0" w:firstRow="1" w:lastRow="0" w:firstColumn="1" w:lastColumn="0" w:noHBand="0" w:noVBand="1"/>
      </w:tblPr>
      <w:tblGrid>
        <w:gridCol w:w="3037"/>
        <w:gridCol w:w="2912"/>
        <w:gridCol w:w="3163"/>
      </w:tblGrid>
      <w:tr w:rsidR="00FE200F" w14:paraId="6D8E4858" w14:textId="77777777" w:rsidTr="00FE20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7" w:type="dxa"/>
          </w:tcPr>
          <w:p w14:paraId="3277EC9E" w14:textId="77777777" w:rsidR="00FE200F" w:rsidRDefault="00E77CAF">
            <w:pPr>
              <w:rPr>
                <w:rFonts w:ascii="Times New Roman" w:hAnsi="Times New Roman" w:cs="Times New Roman"/>
                <w:lang w:val="mk-MK"/>
              </w:rPr>
            </w:pPr>
            <w:r>
              <w:rPr>
                <w:rFonts w:ascii="Times New Roman" w:hAnsi="Times New Roman" w:cs="Times New Roman"/>
                <w:color w:val="auto"/>
                <w:lang w:val="mk-MK"/>
              </w:rPr>
              <w:t>Индикатор</w:t>
            </w:r>
          </w:p>
        </w:tc>
        <w:tc>
          <w:tcPr>
            <w:tcW w:w="2912" w:type="dxa"/>
            <w:tcBorders>
              <w:bottom w:val="nil"/>
            </w:tcBorders>
          </w:tcPr>
          <w:p w14:paraId="3DBD3F6B" w14:textId="77777777" w:rsidR="00FE200F" w:rsidRDefault="00E77CA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 xml:space="preserve">Базна вредност </w:t>
            </w:r>
            <w:r>
              <w:rPr>
                <w:rFonts w:ascii="Times New Roman" w:hAnsi="Times New Roman" w:cs="Times New Roman"/>
                <w:color w:val="auto"/>
                <w:lang w:val="mk-MK"/>
              </w:rPr>
              <w:t>(2022)</w:t>
            </w:r>
          </w:p>
        </w:tc>
        <w:tc>
          <w:tcPr>
            <w:tcW w:w="3163" w:type="dxa"/>
            <w:tcBorders>
              <w:bottom w:val="nil"/>
            </w:tcBorders>
          </w:tcPr>
          <w:p w14:paraId="2036B36E" w14:textId="77777777" w:rsidR="00FE200F" w:rsidRDefault="00E77CA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Таргет (2030)</w:t>
            </w:r>
          </w:p>
        </w:tc>
      </w:tr>
      <w:tr w:rsidR="00FE200F" w14:paraId="6DC54B37"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7" w:type="dxa"/>
            <w:tcBorders>
              <w:right w:val="nil"/>
            </w:tcBorders>
          </w:tcPr>
          <w:p w14:paraId="067A3974" w14:textId="77777777" w:rsidR="00FE200F" w:rsidRDefault="00E77CAF">
            <w:pPr>
              <w:rPr>
                <w:rFonts w:ascii="Times New Roman" w:hAnsi="Times New Roman" w:cs="Times New Roman"/>
                <w:lang w:val="mk-MK"/>
              </w:rPr>
            </w:pPr>
            <w:r>
              <w:rPr>
                <w:rFonts w:ascii="Times New Roman" w:hAnsi="Times New Roman" w:cs="Times New Roman"/>
                <w:b w:val="0"/>
                <w:bCs w:val="0"/>
                <w:i/>
                <w:iCs/>
                <w:color w:val="auto"/>
                <w:lang w:val="mk-MK"/>
              </w:rPr>
              <w:t>ЕУ e-Government benchmark</w:t>
            </w:r>
          </w:p>
        </w:tc>
        <w:tc>
          <w:tcPr>
            <w:tcW w:w="2912" w:type="dxa"/>
          </w:tcPr>
          <w:p w14:paraId="19FAD6C2"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47,4%</w:t>
            </w:r>
          </w:p>
        </w:tc>
        <w:tc>
          <w:tcPr>
            <w:tcW w:w="3163" w:type="dxa"/>
          </w:tcPr>
          <w:p w14:paraId="470D8C1F"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70%</w:t>
            </w:r>
          </w:p>
        </w:tc>
      </w:tr>
      <w:tr w:rsidR="00FE200F" w14:paraId="0928CAB3" w14:textId="77777777" w:rsidTr="00FE200F">
        <w:tc>
          <w:tcPr>
            <w:cnfStyle w:val="001000000000" w:firstRow="0" w:lastRow="0" w:firstColumn="1" w:lastColumn="0" w:oddVBand="0" w:evenVBand="0" w:oddHBand="0" w:evenHBand="0" w:firstRowFirstColumn="0" w:firstRowLastColumn="0" w:lastRowFirstColumn="0" w:lastRowLastColumn="0"/>
            <w:tcW w:w="3037" w:type="dxa"/>
            <w:tcBorders>
              <w:right w:val="nil"/>
            </w:tcBorders>
          </w:tcPr>
          <w:p w14:paraId="44E36189" w14:textId="77777777" w:rsidR="00FE200F" w:rsidRDefault="00E77CAF">
            <w:pPr>
              <w:rPr>
                <w:rFonts w:ascii="Times New Roman" w:hAnsi="Times New Roman" w:cs="Times New Roman"/>
                <w:lang w:val="mk-MK"/>
              </w:rPr>
            </w:pPr>
            <w:r>
              <w:rPr>
                <w:rFonts w:ascii="Times New Roman" w:hAnsi="Times New Roman" w:cs="Times New Roman"/>
                <w:b w:val="0"/>
                <w:bCs w:val="0"/>
                <w:i/>
                <w:iCs/>
                <w:color w:val="auto"/>
                <w:lang w:val="mk-MK"/>
              </w:rPr>
              <w:t>Open Data Inventory (ODIN)</w:t>
            </w:r>
            <w:r>
              <w:rPr>
                <w:rFonts w:ascii="Times New Roman" w:hAnsi="Times New Roman" w:cs="Times New Roman"/>
                <w:b w:val="0"/>
                <w:bCs w:val="0"/>
                <w:color w:val="auto"/>
                <w:lang w:val="mk-MK"/>
              </w:rPr>
              <w:t xml:space="preserve"> ранг</w:t>
            </w:r>
          </w:p>
        </w:tc>
        <w:tc>
          <w:tcPr>
            <w:tcW w:w="2912" w:type="dxa"/>
          </w:tcPr>
          <w:p w14:paraId="62219577"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66-то место</w:t>
            </w:r>
          </w:p>
        </w:tc>
        <w:tc>
          <w:tcPr>
            <w:tcW w:w="3163" w:type="dxa"/>
          </w:tcPr>
          <w:p w14:paraId="3D6FE81F"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40-то место</w:t>
            </w:r>
          </w:p>
        </w:tc>
      </w:tr>
      <w:tr w:rsidR="00FE200F" w14:paraId="21259282"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7" w:type="dxa"/>
            <w:tcBorders>
              <w:right w:val="nil"/>
            </w:tcBorders>
          </w:tcPr>
          <w:p w14:paraId="7CF4FBE8" w14:textId="77777777" w:rsidR="00FE200F" w:rsidRDefault="00E77CAF">
            <w:pPr>
              <w:rPr>
                <w:rFonts w:ascii="Times New Roman" w:hAnsi="Times New Roman" w:cs="Times New Roman"/>
                <w:lang w:val="mk-MK"/>
              </w:rPr>
            </w:pPr>
            <w:r>
              <w:rPr>
                <w:rFonts w:ascii="Times New Roman" w:hAnsi="Times New Roman" w:cs="Times New Roman"/>
                <w:b w:val="0"/>
                <w:bCs w:val="0"/>
                <w:color w:val="auto"/>
                <w:lang w:val="mk-MK"/>
              </w:rPr>
              <w:t>Број на е-услуги (Национален портал)</w:t>
            </w:r>
          </w:p>
        </w:tc>
        <w:tc>
          <w:tcPr>
            <w:tcW w:w="2912" w:type="dxa"/>
          </w:tcPr>
          <w:p w14:paraId="5D70ED0A"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95</w:t>
            </w:r>
          </w:p>
        </w:tc>
        <w:tc>
          <w:tcPr>
            <w:tcW w:w="3163" w:type="dxa"/>
          </w:tcPr>
          <w:p w14:paraId="504278EA"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500</w:t>
            </w:r>
          </w:p>
        </w:tc>
      </w:tr>
      <w:tr w:rsidR="00FE200F" w14:paraId="5089450D" w14:textId="77777777" w:rsidTr="00FE200F">
        <w:tc>
          <w:tcPr>
            <w:cnfStyle w:val="001000000000" w:firstRow="0" w:lastRow="0" w:firstColumn="1" w:lastColumn="0" w:oddVBand="0" w:evenVBand="0" w:oddHBand="0" w:evenHBand="0" w:firstRowFirstColumn="0" w:firstRowLastColumn="0" w:lastRowFirstColumn="0" w:lastRowLastColumn="0"/>
            <w:tcW w:w="3037" w:type="dxa"/>
            <w:tcBorders>
              <w:right w:val="nil"/>
            </w:tcBorders>
          </w:tcPr>
          <w:p w14:paraId="3972557A" w14:textId="77777777" w:rsidR="00FE200F" w:rsidRDefault="00E77CAF">
            <w:pPr>
              <w:rPr>
                <w:rFonts w:ascii="Times New Roman" w:hAnsi="Times New Roman" w:cs="Times New Roman"/>
                <w:lang w:val="mk-MK"/>
              </w:rPr>
            </w:pPr>
            <w:r>
              <w:rPr>
                <w:rFonts w:ascii="Times New Roman" w:hAnsi="Times New Roman" w:cs="Times New Roman"/>
                <w:b w:val="0"/>
                <w:bCs w:val="0"/>
                <w:color w:val="auto"/>
                <w:lang w:val="mk-MK"/>
              </w:rPr>
              <w:t>Број на отворени датасети (</w:t>
            </w:r>
            <w:r>
              <w:rPr>
                <w:rFonts w:ascii="Times New Roman" w:hAnsi="Times New Roman" w:cs="Times New Roman"/>
                <w:b w:val="0"/>
                <w:bCs w:val="0"/>
                <w:i/>
                <w:iCs/>
                <w:color w:val="auto"/>
                <w:lang w:val="mk-MK"/>
              </w:rPr>
              <w:t>data.gov.mk</w:t>
            </w:r>
            <w:r>
              <w:rPr>
                <w:rFonts w:ascii="Times New Roman" w:hAnsi="Times New Roman" w:cs="Times New Roman"/>
                <w:b w:val="0"/>
                <w:bCs w:val="0"/>
                <w:color w:val="auto"/>
                <w:lang w:val="mk-MK"/>
              </w:rPr>
              <w:t>)</w:t>
            </w:r>
          </w:p>
        </w:tc>
        <w:tc>
          <w:tcPr>
            <w:tcW w:w="2912" w:type="dxa"/>
          </w:tcPr>
          <w:p w14:paraId="7245F166"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580</w:t>
            </w:r>
          </w:p>
        </w:tc>
        <w:tc>
          <w:tcPr>
            <w:tcW w:w="3163" w:type="dxa"/>
          </w:tcPr>
          <w:p w14:paraId="004ACC39"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&gt;900</w:t>
            </w:r>
          </w:p>
        </w:tc>
      </w:tr>
      <w:tr w:rsidR="00FE200F" w14:paraId="50C20505"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7" w:type="dxa"/>
            <w:tcBorders>
              <w:right w:val="nil"/>
            </w:tcBorders>
          </w:tcPr>
          <w:p w14:paraId="3D2AF338" w14:textId="77777777" w:rsidR="00FE200F" w:rsidRDefault="00E77CAF">
            <w:pPr>
              <w:rPr>
                <w:rFonts w:ascii="Times New Roman" w:hAnsi="Times New Roman" w:cs="Times New Roman"/>
                <w:lang w:val="mk-MK"/>
              </w:rPr>
            </w:pPr>
            <w:r>
              <w:rPr>
                <w:rFonts w:ascii="Times New Roman" w:hAnsi="Times New Roman" w:cs="Times New Roman"/>
                <w:b w:val="0"/>
                <w:bCs w:val="0"/>
                <w:color w:val="auto"/>
                <w:lang w:val="mk-MK"/>
              </w:rPr>
              <w:t xml:space="preserve">Трансакции на платформата за </w:t>
            </w:r>
            <w:r>
              <w:rPr>
                <w:rFonts w:ascii="Times New Roman" w:hAnsi="Times New Roman" w:cs="Times New Roman"/>
                <w:b w:val="0"/>
                <w:bCs w:val="0"/>
                <w:color w:val="auto"/>
                <w:lang w:val="mk-MK"/>
              </w:rPr>
              <w:t>интероперабилност</w:t>
            </w:r>
          </w:p>
        </w:tc>
        <w:tc>
          <w:tcPr>
            <w:tcW w:w="2912" w:type="dxa"/>
          </w:tcPr>
          <w:p w14:paraId="33C177FF"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1,48 милиони</w:t>
            </w:r>
          </w:p>
        </w:tc>
        <w:tc>
          <w:tcPr>
            <w:tcW w:w="3163" w:type="dxa"/>
          </w:tcPr>
          <w:p w14:paraId="20254482"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7 милиони</w:t>
            </w:r>
          </w:p>
        </w:tc>
      </w:tr>
      <w:tr w:rsidR="00FE200F" w14:paraId="7D161EA6" w14:textId="77777777" w:rsidTr="00FE200F">
        <w:tc>
          <w:tcPr>
            <w:cnfStyle w:val="001000000000" w:firstRow="0" w:lastRow="0" w:firstColumn="1" w:lastColumn="0" w:oddVBand="0" w:evenVBand="0" w:oddHBand="0" w:evenHBand="0" w:firstRowFirstColumn="0" w:firstRowLastColumn="0" w:lastRowFirstColumn="0" w:lastRowLastColumn="0"/>
            <w:tcW w:w="3037" w:type="dxa"/>
            <w:tcBorders>
              <w:right w:val="nil"/>
            </w:tcBorders>
          </w:tcPr>
          <w:p w14:paraId="3E4769D5" w14:textId="77777777" w:rsidR="00FE200F" w:rsidRDefault="00E77CAF">
            <w:pPr>
              <w:rPr>
                <w:rFonts w:ascii="Times New Roman" w:hAnsi="Times New Roman" w:cs="Times New Roman"/>
                <w:lang w:val="mk-MK"/>
              </w:rPr>
            </w:pPr>
            <w:r>
              <w:rPr>
                <w:rFonts w:ascii="Times New Roman" w:hAnsi="Times New Roman" w:cs="Times New Roman"/>
                <w:b w:val="0"/>
                <w:bCs w:val="0"/>
                <w:color w:val="auto"/>
                <w:lang w:val="mk-MK"/>
              </w:rPr>
              <w:t>Дигитални регистри</w:t>
            </w:r>
          </w:p>
        </w:tc>
        <w:tc>
          <w:tcPr>
            <w:tcW w:w="2912" w:type="dxa"/>
          </w:tcPr>
          <w:p w14:paraId="54B3E220"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Базно</w:t>
            </w:r>
          </w:p>
        </w:tc>
        <w:tc>
          <w:tcPr>
            <w:tcW w:w="3163" w:type="dxa"/>
          </w:tcPr>
          <w:p w14:paraId="13F6C5FC"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65 нови</w:t>
            </w:r>
          </w:p>
        </w:tc>
      </w:tr>
    </w:tbl>
    <w:p w14:paraId="54A2B8CB" w14:textId="77777777" w:rsidR="00FE200F" w:rsidRDefault="00FE200F">
      <w:pPr>
        <w:jc w:val="both"/>
        <w:rPr>
          <w:rFonts w:ascii="Times New Roman" w:hAnsi="Times New Roman" w:cs="Times New Roman"/>
          <w:color w:val="auto"/>
          <w:lang w:val="mk-MK"/>
        </w:rPr>
      </w:pPr>
    </w:p>
    <w:p w14:paraId="01983292"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Успешната реализација на Приоритетната област 4 од РЈА е </w:t>
      </w:r>
      <w:r>
        <w:rPr>
          <w:rFonts w:ascii="Times New Roman" w:hAnsi="Times New Roman" w:cs="Times New Roman"/>
          <w:i/>
          <w:color w:val="auto"/>
          <w:lang w:val="mk-MK"/>
        </w:rPr>
        <w:t>conditio sine qua non</w:t>
      </w:r>
      <w:r>
        <w:rPr>
          <w:rFonts w:ascii="Times New Roman" w:hAnsi="Times New Roman" w:cs="Times New Roman"/>
          <w:color w:val="auto"/>
          <w:lang w:val="mk-MK"/>
        </w:rPr>
        <w:t xml:space="preserve"> (неопходен услов) за успешна имплементација на вештачка интелигенција во јавниот сектор на Република Северна Македонија.</w:t>
      </w:r>
    </w:p>
    <w:p w14:paraId="46D8B0F4" w14:textId="77777777" w:rsidR="00FE200F" w:rsidRDefault="00FE200F">
      <w:pPr>
        <w:pStyle w:val="Heading3"/>
        <w:jc w:val="both"/>
        <w:rPr>
          <w:rFonts w:ascii="Times New Roman" w:hAnsi="Times New Roman" w:cs="Times New Roman"/>
          <w:color w:val="auto"/>
          <w:lang w:val="mk-MK"/>
        </w:rPr>
      </w:pPr>
    </w:p>
    <w:p w14:paraId="0209570A" w14:textId="77777777" w:rsidR="00FE200F" w:rsidRDefault="00E77CAF">
      <w:pPr>
        <w:pStyle w:val="Heading3"/>
        <w:jc w:val="both"/>
        <w:rPr>
          <w:rFonts w:ascii="Times New Roman" w:hAnsi="Times New Roman" w:cs="Times New Roman"/>
          <w:lang w:val="mk-MK"/>
        </w:rPr>
      </w:pPr>
      <w:bookmarkStart w:id="25" w:name="_Toc240630038"/>
      <w:bookmarkStart w:id="26" w:name="_Toc243907981"/>
      <w:r>
        <w:rPr>
          <w:rFonts w:ascii="Times New Roman" w:hAnsi="Times New Roman" w:cs="Times New Roman"/>
          <w:color w:val="auto"/>
          <w:lang w:val="mk-MK"/>
        </w:rPr>
        <w:t>2.6 Закон за заштита на личните податоци (ЗЗЛП) и неговото влијание врз ВИ</w:t>
      </w:r>
      <w:bookmarkEnd w:id="25"/>
      <w:bookmarkEnd w:id="26"/>
    </w:p>
    <w:p w14:paraId="3B5CC3C5"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Законот за заштита на личните податоци (ЗЗЛП), донесен во </w:t>
      </w:r>
      <w:r>
        <w:rPr>
          <w:rFonts w:ascii="Times New Roman" w:hAnsi="Times New Roman" w:cs="Times New Roman"/>
          <w:color w:val="auto"/>
          <w:lang w:val="mk-MK"/>
        </w:rPr>
        <w:t>2020 година и изменет во 2021 и 2025 година, претставува најважната постоечка правна рамка која директно го регулира развојот и примената на вештачката интелигенција во Северна Македонија. Бидејќи земјата сè уште нема специфичен Закон за вештачка интелиген</w:t>
      </w:r>
      <w:r>
        <w:rPr>
          <w:rFonts w:ascii="Times New Roman" w:hAnsi="Times New Roman" w:cs="Times New Roman"/>
          <w:color w:val="auto"/>
          <w:lang w:val="mk-MK"/>
        </w:rPr>
        <w:t xml:space="preserve">ција (како ЕУ </w:t>
      </w:r>
      <w:r>
        <w:rPr>
          <w:rFonts w:ascii="Times New Roman" w:hAnsi="Times New Roman" w:cs="Times New Roman"/>
          <w:i/>
          <w:iCs/>
          <w:color w:val="auto"/>
          <w:lang w:val="mk-MK"/>
        </w:rPr>
        <w:t>AI Act</w:t>
      </w:r>
      <w:r>
        <w:rPr>
          <w:rFonts w:ascii="Times New Roman" w:hAnsi="Times New Roman" w:cs="Times New Roman"/>
          <w:color w:val="auto"/>
          <w:lang w:val="mk-MK"/>
        </w:rPr>
        <w:t>), ЗЗЛП дејствува како примарен регулаторен механизам за сите ВИ системи кои обработуваат лични податоци.</w:t>
      </w:r>
    </w:p>
    <w:p w14:paraId="70CF2BB1" w14:textId="77777777" w:rsidR="00FE200F" w:rsidRDefault="00E77CAF">
      <w:pPr>
        <w:pStyle w:val="Heading4"/>
        <w:jc w:val="both"/>
        <w:rPr>
          <w:rFonts w:ascii="Times New Roman" w:hAnsi="Times New Roman" w:cs="Times New Roman"/>
          <w:lang w:val="mk-MK"/>
        </w:rPr>
      </w:pPr>
      <w:r>
        <w:rPr>
          <w:rFonts w:ascii="Times New Roman" w:hAnsi="Times New Roman" w:cs="Times New Roman"/>
          <w:i w:val="0"/>
          <w:iCs w:val="0"/>
          <w:color w:val="auto"/>
          <w:lang w:val="mk-MK"/>
        </w:rPr>
        <w:t>2.6.1 Регулација на автоматизирано одлучување и профилирање (Член 26)</w:t>
      </w:r>
    </w:p>
    <w:p w14:paraId="56CC0EF3"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Клучната точка на пресек помеѓу ЗЗЛП и вештачката интелигенција е </w:t>
      </w:r>
      <w:r>
        <w:rPr>
          <w:rFonts w:ascii="Times New Roman" w:hAnsi="Times New Roman" w:cs="Times New Roman"/>
          <w:b/>
          <w:color w:val="auto"/>
          <w:lang w:val="mk-MK"/>
        </w:rPr>
        <w:t>Членот 26</w:t>
      </w:r>
      <w:r>
        <w:rPr>
          <w:rFonts w:ascii="Times New Roman" w:hAnsi="Times New Roman" w:cs="Times New Roman"/>
          <w:color w:val="auto"/>
          <w:lang w:val="mk-MK"/>
        </w:rPr>
        <w:t>, кој директно го регулира автоматизираното донесување на поединечни одлуки. Според овој член, субјектот на личните податоци има експлицитно право „да не биде предмет на одлука засн</w:t>
      </w:r>
      <w:r>
        <w:rPr>
          <w:rFonts w:ascii="Times New Roman" w:hAnsi="Times New Roman" w:cs="Times New Roman"/>
          <w:color w:val="auto"/>
          <w:lang w:val="mk-MK"/>
        </w:rPr>
        <w:t>ована единствено на автоматизирана обработка, вклучувајќи го и профилирањето што предизвикува правни последици за него или на сличен начин значително влијае на него“.</w:t>
      </w:r>
    </w:p>
    <w:p w14:paraId="6D665E76"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Оваа одредба има огромно влијание врз дизајнот на ВИ системите во земјава:</w:t>
      </w:r>
    </w:p>
    <w:p w14:paraId="0B42BB13" w14:textId="77777777" w:rsidR="00FE200F" w:rsidRDefault="00E77CAF">
      <w:pPr>
        <w:pStyle w:val="ListBullet"/>
        <w:jc w:val="both"/>
        <w:rPr>
          <w:rFonts w:ascii="Times New Roman" w:hAnsi="Times New Roman" w:cs="Times New Roman"/>
          <w:lang w:val="mk-MK"/>
        </w:rPr>
      </w:pPr>
      <w:r>
        <w:rPr>
          <w:rFonts w:ascii="Times New Roman" w:hAnsi="Times New Roman" w:cs="Times New Roman"/>
          <w:b/>
          <w:color w:val="auto"/>
          <w:lang w:val="mk-MK"/>
        </w:rPr>
        <w:t>Задолжителна ч</w:t>
      </w:r>
      <w:r>
        <w:rPr>
          <w:rFonts w:ascii="Times New Roman" w:hAnsi="Times New Roman" w:cs="Times New Roman"/>
          <w:b/>
          <w:color w:val="auto"/>
          <w:lang w:val="mk-MK"/>
        </w:rPr>
        <w:t>овечка интервенција (</w:t>
      </w:r>
      <w:r>
        <w:rPr>
          <w:rFonts w:ascii="Times New Roman" w:hAnsi="Times New Roman" w:cs="Times New Roman"/>
          <w:b/>
          <w:i/>
          <w:iCs/>
          <w:color w:val="auto"/>
          <w:lang w:val="mk-MK"/>
        </w:rPr>
        <w:t>Human-in-the-loop</w:t>
      </w:r>
      <w:r>
        <w:rPr>
          <w:rFonts w:ascii="Times New Roman" w:hAnsi="Times New Roman" w:cs="Times New Roman"/>
          <w:b/>
          <w:color w:val="auto"/>
          <w:lang w:val="mk-MK"/>
        </w:rPr>
        <w:t>):</w:t>
      </w:r>
      <w:r>
        <w:rPr>
          <w:rFonts w:ascii="Times New Roman" w:hAnsi="Times New Roman" w:cs="Times New Roman"/>
          <w:color w:val="auto"/>
          <w:lang w:val="mk-MK"/>
        </w:rPr>
        <w:t xml:space="preserve"> Членот 26 став (3) наложува дека контролорот мора да обезбеди „човечка интервенција од страна на контролорот, право на изразување на личен став и право на оспорување на таквата одлука“. Ова значи дека целосно автоно</w:t>
      </w:r>
      <w:r>
        <w:rPr>
          <w:rFonts w:ascii="Times New Roman" w:hAnsi="Times New Roman" w:cs="Times New Roman"/>
          <w:color w:val="auto"/>
          <w:lang w:val="mk-MK"/>
        </w:rPr>
        <w:t xml:space="preserve">мни ВИ системи кои носат одлуки со правни </w:t>
      </w:r>
      <w:r>
        <w:rPr>
          <w:rFonts w:ascii="Times New Roman" w:hAnsi="Times New Roman" w:cs="Times New Roman"/>
          <w:color w:val="auto"/>
          <w:lang w:val="mk-MK"/>
        </w:rPr>
        <w:lastRenderedPageBreak/>
        <w:t>последици (на пр. одобрување кредити, селекција на кандидати за работа) се практично забранети без човечки надзор.</w:t>
      </w:r>
    </w:p>
    <w:p w14:paraId="1A0F7217" w14:textId="77777777" w:rsidR="00FE200F" w:rsidRDefault="00E77CAF">
      <w:pPr>
        <w:pStyle w:val="ListBullet"/>
        <w:jc w:val="both"/>
        <w:rPr>
          <w:rFonts w:ascii="Times New Roman" w:hAnsi="Times New Roman" w:cs="Times New Roman"/>
          <w:lang w:val="mk-MK"/>
        </w:rPr>
      </w:pPr>
      <w:r>
        <w:rPr>
          <w:rFonts w:ascii="Times New Roman" w:hAnsi="Times New Roman" w:cs="Times New Roman"/>
          <w:b/>
          <w:color w:val="auto"/>
          <w:lang w:val="mk-MK"/>
        </w:rPr>
        <w:t>Заштита од профилирање:</w:t>
      </w:r>
      <w:r>
        <w:rPr>
          <w:rFonts w:ascii="Times New Roman" w:hAnsi="Times New Roman" w:cs="Times New Roman"/>
          <w:color w:val="auto"/>
          <w:lang w:val="mk-MK"/>
        </w:rPr>
        <w:t xml:space="preserve"> Законот го дефинира профилирањето како „секоја форма на автоматска обработк</w:t>
      </w:r>
      <w:r>
        <w:rPr>
          <w:rFonts w:ascii="Times New Roman" w:hAnsi="Times New Roman" w:cs="Times New Roman"/>
          <w:color w:val="auto"/>
          <w:lang w:val="mk-MK"/>
        </w:rPr>
        <w:t>а на лични податоци... за анализа или предвидување на аспекти кои се однесуваат на извршување на професионалните обврски, економска состојба, здравје, лични преференции, интереси, доверливост, однесување, локација или движење“. Ова директно ги регулира алг</w:t>
      </w:r>
      <w:r>
        <w:rPr>
          <w:rFonts w:ascii="Times New Roman" w:hAnsi="Times New Roman" w:cs="Times New Roman"/>
          <w:color w:val="auto"/>
          <w:lang w:val="mk-MK"/>
        </w:rPr>
        <w:t>оритмите за препораки и предвидувачката аналитика.</w:t>
      </w:r>
    </w:p>
    <w:p w14:paraId="5D9899F2" w14:textId="77777777" w:rsidR="00FE200F" w:rsidRDefault="00E77CAF">
      <w:pPr>
        <w:pStyle w:val="ListBullet"/>
        <w:jc w:val="both"/>
        <w:rPr>
          <w:rFonts w:ascii="Times New Roman" w:hAnsi="Times New Roman" w:cs="Times New Roman"/>
          <w:lang w:val="mk-MK"/>
        </w:rPr>
      </w:pPr>
      <w:r>
        <w:rPr>
          <w:rFonts w:ascii="Times New Roman" w:hAnsi="Times New Roman" w:cs="Times New Roman"/>
          <w:b/>
          <w:color w:val="auto"/>
          <w:lang w:val="mk-MK"/>
        </w:rPr>
        <w:t>Забрана за користење посебни категории податоци:</w:t>
      </w:r>
      <w:r>
        <w:rPr>
          <w:rFonts w:ascii="Times New Roman" w:hAnsi="Times New Roman" w:cs="Times New Roman"/>
          <w:color w:val="auto"/>
          <w:lang w:val="mk-MK"/>
        </w:rPr>
        <w:t xml:space="preserve"> Членот 26 став (4) строго забранува автоматизираните одлуки да се засноваат на посебни категории лични податоци (биометриски, генетски, здравствени, етнички</w:t>
      </w:r>
      <w:r>
        <w:rPr>
          <w:rFonts w:ascii="Times New Roman" w:hAnsi="Times New Roman" w:cs="Times New Roman"/>
          <w:color w:val="auto"/>
          <w:lang w:val="mk-MK"/>
        </w:rPr>
        <w:t>), освен во многу специфични исклучоци со изречна согласност.</w:t>
      </w:r>
    </w:p>
    <w:p w14:paraId="4256BE98" w14:textId="77777777" w:rsidR="00FE200F" w:rsidRDefault="00E77CAF">
      <w:pPr>
        <w:pStyle w:val="Heading4"/>
        <w:jc w:val="both"/>
        <w:rPr>
          <w:rFonts w:ascii="Times New Roman" w:hAnsi="Times New Roman" w:cs="Times New Roman"/>
          <w:lang w:val="mk-MK"/>
        </w:rPr>
      </w:pPr>
      <w:r>
        <w:rPr>
          <w:rFonts w:ascii="Times New Roman" w:hAnsi="Times New Roman" w:cs="Times New Roman"/>
          <w:color w:val="auto"/>
          <w:lang w:val="mk-MK"/>
        </w:rPr>
        <w:t>2.6.2 Проценка на влијанието врз заштитата на податоците (DPIA)</w:t>
      </w:r>
    </w:p>
    <w:p w14:paraId="14DA935B"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За развојот на системи со ВИ, ЗЗЛП воведува задолжителен механизам за управување со ризик преку </w:t>
      </w:r>
      <w:r>
        <w:rPr>
          <w:rFonts w:ascii="Times New Roman" w:hAnsi="Times New Roman" w:cs="Times New Roman"/>
          <w:b/>
          <w:color w:val="auto"/>
          <w:lang w:val="mk-MK"/>
        </w:rPr>
        <w:t xml:space="preserve">Членот 39 (Проценка на влијанието </w:t>
      </w:r>
      <w:r>
        <w:rPr>
          <w:rFonts w:ascii="Times New Roman" w:hAnsi="Times New Roman" w:cs="Times New Roman"/>
          <w:b/>
          <w:color w:val="auto"/>
          <w:lang w:val="mk-MK"/>
        </w:rPr>
        <w:t xml:space="preserve">на заштитата на личните податоци - </w:t>
      </w:r>
      <w:r>
        <w:rPr>
          <w:rFonts w:ascii="Times New Roman" w:hAnsi="Times New Roman" w:cs="Times New Roman"/>
          <w:b/>
          <w:i/>
          <w:iCs/>
          <w:color w:val="auto"/>
          <w:lang w:val="mk-MK"/>
        </w:rPr>
        <w:t>DPIA</w:t>
      </w:r>
      <w:r>
        <w:rPr>
          <w:rFonts w:ascii="Times New Roman" w:hAnsi="Times New Roman" w:cs="Times New Roman"/>
          <w:b/>
          <w:color w:val="auto"/>
          <w:lang w:val="mk-MK"/>
        </w:rPr>
        <w:t>)</w:t>
      </w:r>
      <w:r>
        <w:rPr>
          <w:rFonts w:ascii="Times New Roman" w:hAnsi="Times New Roman" w:cs="Times New Roman"/>
          <w:color w:val="auto"/>
          <w:lang w:val="mk-MK"/>
        </w:rPr>
        <w:t>.</w:t>
      </w:r>
    </w:p>
    <w:p w14:paraId="2053BE23"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Законот експлицитно бара спроведување на </w:t>
      </w:r>
      <w:r>
        <w:rPr>
          <w:rFonts w:ascii="Times New Roman" w:hAnsi="Times New Roman" w:cs="Times New Roman"/>
          <w:i/>
          <w:iCs/>
          <w:color w:val="auto"/>
          <w:lang w:val="mk-MK"/>
        </w:rPr>
        <w:t>DPIA</w:t>
      </w:r>
      <w:r>
        <w:rPr>
          <w:rFonts w:ascii="Times New Roman" w:hAnsi="Times New Roman" w:cs="Times New Roman"/>
          <w:color w:val="auto"/>
          <w:lang w:val="mk-MK"/>
        </w:rPr>
        <w:t xml:space="preserve"> кога се користат „нови технологии“ (што несомнено ја вклучува вештачката интелигенција) и кога постои веројатност за висок ризик. Членот 39 став (3) специфично наложува</w:t>
      </w:r>
      <w:r>
        <w:rPr>
          <w:rFonts w:ascii="Times New Roman" w:hAnsi="Times New Roman" w:cs="Times New Roman"/>
          <w:color w:val="auto"/>
          <w:lang w:val="mk-MK"/>
        </w:rPr>
        <w:t xml:space="preserve"> </w:t>
      </w:r>
      <w:r>
        <w:rPr>
          <w:rFonts w:ascii="Times New Roman" w:hAnsi="Times New Roman" w:cs="Times New Roman"/>
          <w:i/>
          <w:iCs/>
          <w:color w:val="auto"/>
          <w:lang w:val="mk-MK"/>
        </w:rPr>
        <w:t>DPIA</w:t>
      </w:r>
      <w:r>
        <w:rPr>
          <w:rFonts w:ascii="Times New Roman" w:hAnsi="Times New Roman" w:cs="Times New Roman"/>
          <w:color w:val="auto"/>
          <w:lang w:val="mk-MK"/>
        </w:rPr>
        <w:t xml:space="preserve"> во случаи на:</w:t>
      </w:r>
    </w:p>
    <w:p w14:paraId="47B20168" w14:textId="77777777" w:rsidR="00FE200F" w:rsidRDefault="00E77CAF">
      <w:pPr>
        <w:pStyle w:val="ListNumber"/>
        <w:numPr>
          <w:ilvl w:val="0"/>
          <w:numId w:val="22"/>
        </w:numPr>
        <w:jc w:val="both"/>
        <w:rPr>
          <w:rFonts w:ascii="Times New Roman" w:hAnsi="Times New Roman" w:cs="Times New Roman"/>
          <w:lang w:val="mk-MK"/>
        </w:rPr>
      </w:pPr>
      <w:r>
        <w:rPr>
          <w:rFonts w:ascii="Times New Roman" w:hAnsi="Times New Roman" w:cs="Times New Roman"/>
          <w:color w:val="auto"/>
          <w:lang w:val="mk-MK"/>
        </w:rPr>
        <w:t>Систематска и сеопфатна оценка на лични аспекти заснована на автоматска обработка (профилирање).</w:t>
      </w:r>
    </w:p>
    <w:p w14:paraId="12ECD192" w14:textId="77777777" w:rsidR="00FE200F" w:rsidRDefault="00E77CAF">
      <w:pPr>
        <w:pStyle w:val="ListNumber"/>
        <w:numPr>
          <w:ilvl w:val="0"/>
          <w:numId w:val="23"/>
        </w:numPr>
        <w:jc w:val="both"/>
        <w:rPr>
          <w:rFonts w:ascii="Times New Roman" w:hAnsi="Times New Roman" w:cs="Times New Roman"/>
          <w:lang w:val="mk-MK"/>
        </w:rPr>
      </w:pPr>
      <w:r>
        <w:rPr>
          <w:rFonts w:ascii="Times New Roman" w:hAnsi="Times New Roman" w:cs="Times New Roman"/>
          <w:color w:val="auto"/>
          <w:lang w:val="mk-MK"/>
        </w:rPr>
        <w:t>Обемна обработка на посебни категории податоци (вклучувајќи биометриски податоци за препознавање лица).</w:t>
      </w:r>
    </w:p>
    <w:p w14:paraId="223078E6" w14:textId="77777777" w:rsidR="00FE200F" w:rsidRDefault="00E77CAF">
      <w:pPr>
        <w:pStyle w:val="ListNumber"/>
        <w:numPr>
          <w:ilvl w:val="0"/>
          <w:numId w:val="24"/>
        </w:numPr>
        <w:jc w:val="both"/>
        <w:rPr>
          <w:rFonts w:ascii="Times New Roman" w:hAnsi="Times New Roman" w:cs="Times New Roman"/>
          <w:lang w:val="mk-MK"/>
        </w:rPr>
      </w:pPr>
      <w:r>
        <w:rPr>
          <w:rFonts w:ascii="Times New Roman" w:hAnsi="Times New Roman" w:cs="Times New Roman"/>
          <w:color w:val="auto"/>
          <w:lang w:val="mk-MK"/>
        </w:rPr>
        <w:t xml:space="preserve">Систематско набљудување на јавно </w:t>
      </w:r>
      <w:r>
        <w:rPr>
          <w:rFonts w:ascii="Times New Roman" w:hAnsi="Times New Roman" w:cs="Times New Roman"/>
          <w:color w:val="auto"/>
          <w:lang w:val="mk-MK"/>
        </w:rPr>
        <w:t>достапни простори во големи размери (што директно ги регулира системите за паметен видео надзор со ВИ).</w:t>
      </w:r>
    </w:p>
    <w:p w14:paraId="389AE580"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Овој механизам е компатибилен со барањата за проценка на ризик кои ги наметнува новиот ЕУ Акт за ВИ, што значи дека македонските компании кои веќе го по</w:t>
      </w:r>
      <w:r>
        <w:rPr>
          <w:rFonts w:ascii="Times New Roman" w:hAnsi="Times New Roman" w:cs="Times New Roman"/>
          <w:color w:val="auto"/>
          <w:lang w:val="mk-MK"/>
        </w:rPr>
        <w:t>читуваат ЗЗЛП имаат солидна основа за идна усогласеност со европската ВИ регулатива.</w:t>
      </w:r>
    </w:p>
    <w:p w14:paraId="29632017" w14:textId="77777777" w:rsidR="00FE200F" w:rsidRDefault="00E77CAF">
      <w:pPr>
        <w:pStyle w:val="Heading4"/>
        <w:jc w:val="both"/>
        <w:rPr>
          <w:rFonts w:ascii="Times New Roman" w:hAnsi="Times New Roman" w:cs="Times New Roman"/>
          <w:lang w:val="mk-MK"/>
        </w:rPr>
      </w:pPr>
      <w:r>
        <w:rPr>
          <w:rFonts w:ascii="Times New Roman" w:hAnsi="Times New Roman" w:cs="Times New Roman"/>
          <w:color w:val="auto"/>
          <w:lang w:val="mk-MK"/>
        </w:rPr>
        <w:t>2.6.4 Измените од 2025 година и меѓународниот пренос на податоци</w:t>
      </w:r>
    </w:p>
    <w:p w14:paraId="5AD2DBDC"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Најновите измени на ЗЗЛП од 2025 година (Д-ЗЗЛП 2025) воведуваат важна новина релевантна за ВИ екосистемот</w:t>
      </w:r>
      <w:r>
        <w:rPr>
          <w:rFonts w:ascii="Times New Roman" w:hAnsi="Times New Roman" w:cs="Times New Roman"/>
          <w:color w:val="auto"/>
          <w:lang w:val="mk-MK"/>
        </w:rPr>
        <w:t xml:space="preserve">. Измените во членовите 48 и 56 го олеснуваат преносот на лични податоци не само кон земјите членки на Европската Унија, туку експлицитно и кон </w:t>
      </w:r>
      <w:r>
        <w:rPr>
          <w:rFonts w:ascii="Times New Roman" w:hAnsi="Times New Roman" w:cs="Times New Roman"/>
          <w:bCs/>
          <w:color w:val="auto"/>
          <w:lang w:val="mk-MK"/>
        </w:rPr>
        <w:t>„земјите членки на НАТО“.</w:t>
      </w:r>
    </w:p>
    <w:p w14:paraId="66496807"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Применливите правила за меѓународен пренос на лични податоци и за употреба на услуги в</w:t>
      </w:r>
      <w:r>
        <w:rPr>
          <w:rFonts w:ascii="Times New Roman" w:hAnsi="Times New Roman" w:cs="Times New Roman"/>
          <w:color w:val="auto"/>
          <w:lang w:val="mk-MK"/>
        </w:rPr>
        <w:t>о облак и големи јазични модели се оценуваат за секоја конкретна обработка. Членството во НАТО само по себе не ги заменува применливите барања за законски основ, улогите на контролор и обработувач, подизвршувачите, локацијата на обработката и можниот прист</w:t>
      </w:r>
      <w:r>
        <w:rPr>
          <w:rFonts w:ascii="Times New Roman" w:hAnsi="Times New Roman" w:cs="Times New Roman"/>
          <w:color w:val="auto"/>
          <w:lang w:val="mk-MK"/>
        </w:rPr>
        <w:t>ап од трети земји, договорните гаранции, безбедносните мерки, роковите за чување и условите за чување на податоците. Употребата на такви услуги со лични податоци се заснова на документирана правна и техничка оценка, во согласност со применливата регулатива</w:t>
      </w:r>
      <w:r>
        <w:rPr>
          <w:rFonts w:ascii="Times New Roman" w:hAnsi="Times New Roman" w:cs="Times New Roman"/>
          <w:color w:val="auto"/>
          <w:lang w:val="mk-MK"/>
        </w:rPr>
        <w:t>.</w:t>
      </w:r>
    </w:p>
    <w:p w14:paraId="2928BDF8" w14:textId="77777777" w:rsidR="00FE200F" w:rsidRDefault="00FE200F">
      <w:pPr>
        <w:pStyle w:val="Heading3"/>
        <w:jc w:val="both"/>
        <w:rPr>
          <w:rFonts w:ascii="Times New Roman" w:hAnsi="Times New Roman" w:cs="Times New Roman"/>
          <w:color w:val="auto"/>
          <w:lang w:val="mk-MK"/>
        </w:rPr>
      </w:pPr>
    </w:p>
    <w:p w14:paraId="1B0C9C60" w14:textId="77777777" w:rsidR="00FE200F" w:rsidRDefault="00E77CAF">
      <w:pPr>
        <w:pStyle w:val="Heading3"/>
        <w:jc w:val="both"/>
        <w:rPr>
          <w:rFonts w:ascii="Times New Roman" w:hAnsi="Times New Roman" w:cs="Times New Roman"/>
          <w:lang w:val="mk-MK"/>
        </w:rPr>
      </w:pPr>
      <w:bookmarkStart w:id="27" w:name="_Toc240630039"/>
      <w:bookmarkStart w:id="28" w:name="_Toc243907982"/>
      <w:r>
        <w:rPr>
          <w:rFonts w:ascii="Times New Roman" w:hAnsi="Times New Roman" w:cs="Times New Roman"/>
          <w:color w:val="auto"/>
          <w:lang w:val="mk-MK"/>
        </w:rPr>
        <w:t>2.7 Дигитална подготвеност на Северна Македонија (</w:t>
      </w:r>
      <w:r>
        <w:rPr>
          <w:rFonts w:ascii="Times New Roman" w:hAnsi="Times New Roman" w:cs="Times New Roman"/>
          <w:i/>
          <w:iCs/>
          <w:color w:val="auto"/>
          <w:lang w:val="mk-MK"/>
        </w:rPr>
        <w:t>UNDP DRA</w:t>
      </w:r>
      <w:r>
        <w:rPr>
          <w:rFonts w:ascii="Times New Roman" w:hAnsi="Times New Roman" w:cs="Times New Roman"/>
          <w:color w:val="auto"/>
          <w:lang w:val="mk-MK"/>
        </w:rPr>
        <w:t xml:space="preserve"> 2023)</w:t>
      </w:r>
      <w:bookmarkEnd w:id="27"/>
      <w:bookmarkEnd w:id="28"/>
    </w:p>
    <w:p w14:paraId="4DD7DB14"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Проценката на дигиталната подготвеност (</w:t>
      </w:r>
      <w:r>
        <w:rPr>
          <w:rFonts w:ascii="Times New Roman" w:hAnsi="Times New Roman" w:cs="Times New Roman"/>
          <w:i/>
          <w:iCs/>
          <w:color w:val="auto"/>
          <w:lang w:val="mk-MK"/>
        </w:rPr>
        <w:t>Digital Readiness Assessment - DRA</w:t>
      </w:r>
      <w:r>
        <w:rPr>
          <w:rFonts w:ascii="Times New Roman" w:hAnsi="Times New Roman" w:cs="Times New Roman"/>
          <w:color w:val="auto"/>
          <w:lang w:val="mk-MK"/>
        </w:rPr>
        <w:t xml:space="preserve">) спроведена од УНДП во 2023 година претставува најсеопфатната дијагностика на дигиталниот екосистем во земјата. </w:t>
      </w:r>
      <w:r>
        <w:rPr>
          <w:rFonts w:ascii="Times New Roman" w:hAnsi="Times New Roman" w:cs="Times New Roman"/>
          <w:color w:val="auto"/>
          <w:lang w:val="mk-MK"/>
        </w:rPr>
        <w:t>Овој документ е клучен за Стратегијата за употреба на ВИ бидејќи ги мапира точните структурни предности и слабости врз кои мора да се гради развојот на вештачката интелигенција.</w:t>
      </w:r>
    </w:p>
    <w:p w14:paraId="6CFC5DB0"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Според </w:t>
      </w:r>
      <w:r>
        <w:rPr>
          <w:rFonts w:ascii="Times New Roman" w:hAnsi="Times New Roman" w:cs="Times New Roman"/>
          <w:i/>
          <w:iCs/>
          <w:color w:val="auto"/>
          <w:lang w:val="mk-MK"/>
        </w:rPr>
        <w:t>DRA</w:t>
      </w:r>
      <w:r>
        <w:rPr>
          <w:rFonts w:ascii="Times New Roman" w:hAnsi="Times New Roman" w:cs="Times New Roman"/>
          <w:color w:val="auto"/>
          <w:lang w:val="mk-MK"/>
        </w:rPr>
        <w:t xml:space="preserve"> методологијата, дигиталната подготвеност се мери низ пет клучни сто</w:t>
      </w:r>
      <w:r>
        <w:rPr>
          <w:rFonts w:ascii="Times New Roman" w:hAnsi="Times New Roman" w:cs="Times New Roman"/>
          <w:color w:val="auto"/>
          <w:lang w:val="mk-MK"/>
        </w:rPr>
        <w:t xml:space="preserve">лбови и една основа, рангирани во пет фази на развој (од 1-Основна до 5-Транформациска). Северна Македонија се наоѓа во </w:t>
      </w:r>
      <w:r>
        <w:rPr>
          <w:rFonts w:ascii="Times New Roman" w:hAnsi="Times New Roman" w:cs="Times New Roman"/>
          <w:b/>
          <w:color w:val="auto"/>
          <w:lang w:val="mk-MK"/>
        </w:rPr>
        <w:t>Системска фаза (</w:t>
      </w:r>
      <w:r>
        <w:rPr>
          <w:rFonts w:ascii="Times New Roman" w:hAnsi="Times New Roman" w:cs="Times New Roman"/>
          <w:b/>
          <w:i/>
          <w:iCs/>
          <w:color w:val="auto"/>
          <w:lang w:val="mk-MK"/>
        </w:rPr>
        <w:t>Systematic Phase</w:t>
      </w:r>
      <w:r>
        <w:rPr>
          <w:rFonts w:ascii="Times New Roman" w:hAnsi="Times New Roman" w:cs="Times New Roman"/>
          <w:b/>
          <w:color w:val="auto"/>
          <w:lang w:val="mk-MK"/>
        </w:rPr>
        <w:t xml:space="preserve"> - 3/5)</w:t>
      </w:r>
      <w:r>
        <w:rPr>
          <w:rFonts w:ascii="Times New Roman" w:hAnsi="Times New Roman" w:cs="Times New Roman"/>
          <w:color w:val="auto"/>
          <w:lang w:val="mk-MK"/>
        </w:rPr>
        <w:t xml:space="preserve"> во речиси сите сегменти, со еден значаен исклучок.</w:t>
      </w:r>
    </w:p>
    <w:p w14:paraId="28A31775" w14:textId="77777777" w:rsidR="00FE200F" w:rsidRDefault="00E77CAF">
      <w:pPr>
        <w:pStyle w:val="Heading4"/>
        <w:jc w:val="both"/>
        <w:rPr>
          <w:rFonts w:ascii="Times New Roman" w:hAnsi="Times New Roman" w:cs="Times New Roman"/>
          <w:lang w:val="mk-MK"/>
        </w:rPr>
      </w:pPr>
      <w:r>
        <w:rPr>
          <w:rFonts w:ascii="Times New Roman" w:hAnsi="Times New Roman" w:cs="Times New Roman"/>
          <w:color w:val="auto"/>
          <w:lang w:val="mk-MK"/>
        </w:rPr>
        <w:t>2.7.1 Анализа по столбови</w:t>
      </w:r>
    </w:p>
    <w:p w14:paraId="13C7BA59" w14:textId="77777777" w:rsidR="00FE200F" w:rsidRDefault="00E77CAF">
      <w:pPr>
        <w:pStyle w:val="ListBullet"/>
        <w:jc w:val="both"/>
        <w:rPr>
          <w:rFonts w:ascii="Times New Roman" w:hAnsi="Times New Roman" w:cs="Times New Roman"/>
          <w:lang w:val="mk-MK"/>
        </w:rPr>
      </w:pPr>
      <w:r>
        <w:rPr>
          <w:rFonts w:ascii="Times New Roman" w:hAnsi="Times New Roman" w:cs="Times New Roman"/>
          <w:b/>
          <w:color w:val="auto"/>
          <w:lang w:val="mk-MK"/>
        </w:rPr>
        <w:t>Основи — Фаза 3 (</w:t>
      </w:r>
      <w:r>
        <w:rPr>
          <w:rFonts w:ascii="Times New Roman" w:hAnsi="Times New Roman" w:cs="Times New Roman"/>
          <w:b/>
          <w:i/>
          <w:iCs/>
          <w:color w:val="auto"/>
          <w:lang w:val="mk-MK"/>
        </w:rPr>
        <w:t>Sy</w:t>
      </w:r>
      <w:r>
        <w:rPr>
          <w:rFonts w:ascii="Times New Roman" w:hAnsi="Times New Roman" w:cs="Times New Roman"/>
          <w:b/>
          <w:i/>
          <w:iCs/>
          <w:color w:val="auto"/>
          <w:lang w:val="mk-MK"/>
        </w:rPr>
        <w:t>stematic</w:t>
      </w:r>
      <w:r>
        <w:rPr>
          <w:rFonts w:ascii="Times New Roman" w:hAnsi="Times New Roman" w:cs="Times New Roman"/>
          <w:b/>
          <w:color w:val="auto"/>
          <w:lang w:val="mk-MK"/>
        </w:rPr>
        <w:t>):</w:t>
      </w:r>
      <w:r>
        <w:rPr>
          <w:rFonts w:ascii="Times New Roman" w:hAnsi="Times New Roman" w:cs="Times New Roman"/>
          <w:color w:val="auto"/>
          <w:lang w:val="mk-MK"/>
        </w:rPr>
        <w:t xml:space="preserve"> Земјата има воспоставено солидна основа преку Националната платформа за интероперабилност (моделирана според ЕУ рамката) и лансирањето на првиот Национален сервис за дигитален идентитет усогласен со </w:t>
      </w:r>
      <w:r>
        <w:rPr>
          <w:rFonts w:ascii="Times New Roman" w:hAnsi="Times New Roman" w:cs="Times New Roman"/>
          <w:i/>
          <w:iCs/>
          <w:color w:val="auto"/>
          <w:lang w:val="mk-MK"/>
        </w:rPr>
        <w:t>eIDAS</w:t>
      </w:r>
      <w:r>
        <w:rPr>
          <w:rFonts w:ascii="Times New Roman" w:hAnsi="Times New Roman" w:cs="Times New Roman"/>
          <w:color w:val="auto"/>
          <w:lang w:val="mk-MK"/>
        </w:rPr>
        <w:t xml:space="preserve"> стандардите. Законот за платежни услуги </w:t>
      </w:r>
      <w:r>
        <w:rPr>
          <w:rFonts w:ascii="Times New Roman" w:hAnsi="Times New Roman" w:cs="Times New Roman"/>
          <w:color w:val="auto"/>
          <w:lang w:val="mk-MK"/>
        </w:rPr>
        <w:t>од 2022 година дополнително го модернизираше екосистемот за дигитални плаќања.</w:t>
      </w:r>
    </w:p>
    <w:p w14:paraId="7044AFD0" w14:textId="77777777" w:rsidR="00FE200F" w:rsidRDefault="00E77CAF">
      <w:pPr>
        <w:pStyle w:val="ListBullet"/>
        <w:jc w:val="both"/>
        <w:rPr>
          <w:rFonts w:ascii="Times New Roman" w:hAnsi="Times New Roman" w:cs="Times New Roman"/>
          <w:lang w:val="mk-MK"/>
        </w:rPr>
      </w:pPr>
      <w:r>
        <w:rPr>
          <w:rFonts w:ascii="Times New Roman" w:hAnsi="Times New Roman" w:cs="Times New Roman"/>
          <w:b/>
          <w:color w:val="auto"/>
          <w:lang w:val="mk-MK"/>
        </w:rPr>
        <w:t>Инфраструктура — Фаза 3 (</w:t>
      </w:r>
      <w:r>
        <w:rPr>
          <w:rFonts w:ascii="Times New Roman" w:hAnsi="Times New Roman" w:cs="Times New Roman"/>
          <w:b/>
          <w:i/>
          <w:iCs/>
          <w:color w:val="auto"/>
          <w:lang w:val="mk-MK"/>
        </w:rPr>
        <w:t>Systematic</w:t>
      </w:r>
      <w:r>
        <w:rPr>
          <w:rFonts w:ascii="Times New Roman" w:hAnsi="Times New Roman" w:cs="Times New Roman"/>
          <w:b/>
          <w:color w:val="auto"/>
          <w:lang w:val="mk-MK"/>
        </w:rPr>
        <w:t>):</w:t>
      </w:r>
      <w:r>
        <w:rPr>
          <w:rFonts w:ascii="Times New Roman" w:hAnsi="Times New Roman" w:cs="Times New Roman"/>
          <w:color w:val="auto"/>
          <w:lang w:val="mk-MK"/>
        </w:rPr>
        <w:t xml:space="preserve"> Ова е најсилната точка на земјата. Со речиси 100% покриеност со 4G/3G мрежи и 5G достапно во 16 градови, Северна Македонија е рангирана на </w:t>
      </w:r>
      <w:r>
        <w:rPr>
          <w:rFonts w:ascii="Times New Roman" w:hAnsi="Times New Roman" w:cs="Times New Roman"/>
          <w:color w:val="auto"/>
          <w:lang w:val="mk-MK"/>
        </w:rPr>
        <w:t>високото 30-то место глобално за брзина на мобилен широкопојасен интернет. Сепак, извештајот нотира дека издвојувањата за истражување и развој (</w:t>
      </w:r>
      <w:r>
        <w:rPr>
          <w:rFonts w:ascii="Times New Roman" w:hAnsi="Times New Roman" w:cs="Times New Roman"/>
          <w:i/>
          <w:iCs/>
          <w:color w:val="auto"/>
          <w:lang w:val="mk-MK"/>
        </w:rPr>
        <w:t>R&amp;D</w:t>
      </w:r>
      <w:r>
        <w:rPr>
          <w:rFonts w:ascii="Times New Roman" w:hAnsi="Times New Roman" w:cs="Times New Roman"/>
          <w:color w:val="auto"/>
          <w:lang w:val="mk-MK"/>
        </w:rPr>
        <w:t>) остануваат критично ниски на само 0.38% од БДП.</w:t>
      </w:r>
    </w:p>
    <w:p w14:paraId="1619A358" w14:textId="77777777" w:rsidR="00FE200F" w:rsidRDefault="00E77CAF">
      <w:pPr>
        <w:pStyle w:val="ListBullet"/>
        <w:jc w:val="both"/>
        <w:rPr>
          <w:rFonts w:ascii="Times New Roman" w:hAnsi="Times New Roman" w:cs="Times New Roman"/>
          <w:lang w:val="mk-MK"/>
        </w:rPr>
      </w:pPr>
      <w:r>
        <w:rPr>
          <w:rFonts w:ascii="Times New Roman" w:hAnsi="Times New Roman" w:cs="Times New Roman"/>
          <w:b/>
          <w:color w:val="auto"/>
          <w:lang w:val="mk-MK"/>
        </w:rPr>
        <w:t>Влада — Фаза 3 (</w:t>
      </w:r>
      <w:r>
        <w:rPr>
          <w:rFonts w:ascii="Times New Roman" w:hAnsi="Times New Roman" w:cs="Times New Roman"/>
          <w:b/>
          <w:i/>
          <w:iCs/>
          <w:color w:val="auto"/>
          <w:lang w:val="mk-MK"/>
        </w:rPr>
        <w:t>Systematic</w:t>
      </w:r>
      <w:r>
        <w:rPr>
          <w:rFonts w:ascii="Times New Roman" w:hAnsi="Times New Roman" w:cs="Times New Roman"/>
          <w:b/>
          <w:color w:val="auto"/>
          <w:lang w:val="mk-MK"/>
        </w:rPr>
        <w:t>):</w:t>
      </w:r>
      <w:r>
        <w:rPr>
          <w:rFonts w:ascii="Times New Roman" w:hAnsi="Times New Roman" w:cs="Times New Roman"/>
          <w:color w:val="auto"/>
          <w:lang w:val="mk-MK"/>
        </w:rPr>
        <w:t xml:space="preserve"> Владата покажува проактивност </w:t>
      </w:r>
      <w:r>
        <w:rPr>
          <w:rFonts w:ascii="Times New Roman" w:hAnsi="Times New Roman" w:cs="Times New Roman"/>
          <w:color w:val="auto"/>
          <w:lang w:val="mk-MK"/>
        </w:rPr>
        <w:t xml:space="preserve">преку иницијативи како АДА платформата (дигитален асистент базиран на ВИ за привлекување инвестиции). Меѓутоа, </w:t>
      </w:r>
      <w:r>
        <w:rPr>
          <w:rFonts w:ascii="Times New Roman" w:hAnsi="Times New Roman" w:cs="Times New Roman"/>
          <w:i/>
          <w:iCs/>
          <w:color w:val="auto"/>
          <w:lang w:val="mk-MK"/>
        </w:rPr>
        <w:t>DRA</w:t>
      </w:r>
      <w:r>
        <w:rPr>
          <w:rFonts w:ascii="Times New Roman" w:hAnsi="Times New Roman" w:cs="Times New Roman"/>
          <w:color w:val="auto"/>
          <w:lang w:val="mk-MK"/>
        </w:rPr>
        <w:t xml:space="preserve"> извештајот експлицитно предупредува дека „задоцнетиот напредок во воспоставувањето на Стратегија за употреба на ВИ претставува ризик“, остава</w:t>
      </w:r>
      <w:r>
        <w:rPr>
          <w:rFonts w:ascii="Times New Roman" w:hAnsi="Times New Roman" w:cs="Times New Roman"/>
          <w:color w:val="auto"/>
          <w:lang w:val="mk-MK"/>
        </w:rPr>
        <w:t>јќи ги граѓаните изложени на предизвици како алгоритамска пристрасност и нарушување на приватноста.</w:t>
      </w:r>
    </w:p>
    <w:p w14:paraId="709C2648" w14:textId="77777777" w:rsidR="00FE200F" w:rsidRDefault="00E77CAF">
      <w:pPr>
        <w:pStyle w:val="ListBullet"/>
        <w:jc w:val="both"/>
        <w:rPr>
          <w:rFonts w:ascii="Times New Roman" w:hAnsi="Times New Roman" w:cs="Times New Roman"/>
          <w:lang w:val="mk-MK"/>
        </w:rPr>
      </w:pPr>
      <w:r>
        <w:rPr>
          <w:rFonts w:ascii="Times New Roman" w:hAnsi="Times New Roman" w:cs="Times New Roman"/>
          <w:b/>
          <w:color w:val="auto"/>
          <w:lang w:val="mk-MK"/>
        </w:rPr>
        <w:t>Регулатива — Фаза 3 (</w:t>
      </w:r>
      <w:r>
        <w:rPr>
          <w:rFonts w:ascii="Times New Roman" w:hAnsi="Times New Roman" w:cs="Times New Roman"/>
          <w:b/>
          <w:i/>
          <w:iCs/>
          <w:color w:val="auto"/>
          <w:lang w:val="mk-MK"/>
        </w:rPr>
        <w:t>Systematic</w:t>
      </w:r>
      <w:r>
        <w:rPr>
          <w:rFonts w:ascii="Times New Roman" w:hAnsi="Times New Roman" w:cs="Times New Roman"/>
          <w:b/>
          <w:color w:val="auto"/>
          <w:lang w:val="mk-MK"/>
        </w:rPr>
        <w:t>):</w:t>
      </w:r>
      <w:r>
        <w:rPr>
          <w:rFonts w:ascii="Times New Roman" w:hAnsi="Times New Roman" w:cs="Times New Roman"/>
          <w:color w:val="auto"/>
          <w:lang w:val="mk-MK"/>
        </w:rPr>
        <w:t xml:space="preserve"> Иако правната рамка (како ЗЗЛП) е усогласена со европските стандарди, извештајот нотира сериозен јаз во имплементацијата. </w:t>
      </w:r>
      <w:r>
        <w:rPr>
          <w:rFonts w:ascii="Times New Roman" w:hAnsi="Times New Roman" w:cs="Times New Roman"/>
          <w:color w:val="auto"/>
          <w:lang w:val="mk-MK"/>
        </w:rPr>
        <w:t>Постои значителен недостаток на јавна свест за законите за отворени податоци и заштита на приватноста.</w:t>
      </w:r>
    </w:p>
    <w:p w14:paraId="317584A7" w14:textId="77777777" w:rsidR="00FE200F" w:rsidRDefault="00E77CAF">
      <w:pPr>
        <w:pStyle w:val="ListBullet"/>
        <w:jc w:val="both"/>
        <w:rPr>
          <w:rFonts w:ascii="Times New Roman" w:hAnsi="Times New Roman" w:cs="Times New Roman"/>
          <w:lang w:val="mk-MK"/>
        </w:rPr>
      </w:pPr>
      <w:r>
        <w:rPr>
          <w:rFonts w:ascii="Times New Roman" w:hAnsi="Times New Roman" w:cs="Times New Roman"/>
          <w:b/>
          <w:color w:val="auto"/>
          <w:lang w:val="mk-MK"/>
        </w:rPr>
        <w:t>Бизнис — Фаза 2 (</w:t>
      </w:r>
      <w:r>
        <w:rPr>
          <w:rFonts w:ascii="Times New Roman" w:hAnsi="Times New Roman" w:cs="Times New Roman"/>
          <w:b/>
          <w:i/>
          <w:iCs/>
          <w:color w:val="auto"/>
          <w:lang w:val="mk-MK"/>
        </w:rPr>
        <w:t>Opportunistic</w:t>
      </w:r>
      <w:r>
        <w:rPr>
          <w:rFonts w:ascii="Times New Roman" w:hAnsi="Times New Roman" w:cs="Times New Roman"/>
          <w:b/>
          <w:color w:val="auto"/>
          <w:lang w:val="mk-MK"/>
        </w:rPr>
        <w:t>):</w:t>
      </w:r>
      <w:r>
        <w:rPr>
          <w:rFonts w:ascii="Times New Roman" w:hAnsi="Times New Roman" w:cs="Times New Roman"/>
          <w:color w:val="auto"/>
          <w:lang w:val="mk-MK"/>
        </w:rPr>
        <w:t xml:space="preserve"> Ова е </w:t>
      </w:r>
      <w:r>
        <w:rPr>
          <w:rFonts w:ascii="Times New Roman" w:hAnsi="Times New Roman" w:cs="Times New Roman"/>
          <w:bCs/>
          <w:color w:val="auto"/>
          <w:lang w:val="mk-MK"/>
        </w:rPr>
        <w:t>единствениот столб кој заостанува</w:t>
      </w:r>
      <w:r>
        <w:rPr>
          <w:rFonts w:ascii="Times New Roman" w:hAnsi="Times New Roman" w:cs="Times New Roman"/>
          <w:color w:val="auto"/>
          <w:lang w:val="mk-MK"/>
        </w:rPr>
        <w:t>. Само околу половина од бизнисите користат онлајн алатки и е-трговија. Стартап е</w:t>
      </w:r>
      <w:r>
        <w:rPr>
          <w:rFonts w:ascii="Times New Roman" w:hAnsi="Times New Roman" w:cs="Times New Roman"/>
          <w:color w:val="auto"/>
          <w:lang w:val="mk-MK"/>
        </w:rPr>
        <w:t>косистемот се соочува со сериозни пречки поради недостаток на таленти и регулаторни бариери, а финансирањето е претежно зависно од државни грантови (ИНОВА), со недоволно учество на приватни инвеститори и ризичен капитал.</w:t>
      </w:r>
    </w:p>
    <w:p w14:paraId="046ED51C" w14:textId="77777777" w:rsidR="00FE200F" w:rsidRDefault="00E77CAF">
      <w:pPr>
        <w:pStyle w:val="ListBullet"/>
        <w:jc w:val="both"/>
        <w:rPr>
          <w:rFonts w:ascii="Times New Roman" w:hAnsi="Times New Roman" w:cs="Times New Roman"/>
          <w:lang w:val="mk-MK"/>
        </w:rPr>
      </w:pPr>
      <w:r>
        <w:rPr>
          <w:rFonts w:ascii="Times New Roman" w:hAnsi="Times New Roman" w:cs="Times New Roman"/>
          <w:b/>
          <w:color w:val="auto"/>
          <w:lang w:val="mk-MK"/>
        </w:rPr>
        <w:t>Општество — Фаза 3 (</w:t>
      </w:r>
      <w:r>
        <w:rPr>
          <w:rFonts w:ascii="Times New Roman" w:hAnsi="Times New Roman" w:cs="Times New Roman"/>
          <w:b/>
          <w:i/>
          <w:iCs/>
          <w:color w:val="auto"/>
          <w:lang w:val="mk-MK"/>
        </w:rPr>
        <w:t>Systematic</w:t>
      </w:r>
      <w:r>
        <w:rPr>
          <w:rFonts w:ascii="Times New Roman" w:hAnsi="Times New Roman" w:cs="Times New Roman"/>
          <w:b/>
          <w:color w:val="auto"/>
          <w:lang w:val="mk-MK"/>
        </w:rPr>
        <w:t>):</w:t>
      </w:r>
      <w:r>
        <w:rPr>
          <w:rFonts w:ascii="Times New Roman" w:hAnsi="Times New Roman" w:cs="Times New Roman"/>
          <w:color w:val="auto"/>
          <w:lang w:val="mk-MK"/>
        </w:rPr>
        <w:t xml:space="preserve"> Иа</w:t>
      </w:r>
      <w:r>
        <w:rPr>
          <w:rFonts w:ascii="Times New Roman" w:hAnsi="Times New Roman" w:cs="Times New Roman"/>
          <w:color w:val="auto"/>
          <w:lang w:val="mk-MK"/>
        </w:rPr>
        <w:t>ко 80% од населението има пристап до интернет, постои длабок дигитален јаз. Само 32% од населението поседува основни дигитални вештини (во споредба со просекот на ЕУ од 56%), а само 3% имаат напредни вештини (програмирање, машинско учење). Околу 19% од нас</w:t>
      </w:r>
      <w:r>
        <w:rPr>
          <w:rFonts w:ascii="Times New Roman" w:hAnsi="Times New Roman" w:cs="Times New Roman"/>
          <w:color w:val="auto"/>
          <w:lang w:val="mk-MK"/>
        </w:rPr>
        <w:t>елението (претежно над 60 години) останува целосно исклучено од дигиталниот свет.</w:t>
      </w:r>
    </w:p>
    <w:p w14:paraId="2AF24FDE"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lastRenderedPageBreak/>
        <w:t>Овие наоди јасно индицираат дека Стратегијата за употреба на ВИ мора примарно да се фокусира на подигнување на дигиталните вештини кај луѓето и стимулирање на приватниот сект</w:t>
      </w:r>
      <w:r>
        <w:rPr>
          <w:rFonts w:ascii="Times New Roman" w:hAnsi="Times New Roman" w:cs="Times New Roman"/>
          <w:color w:val="auto"/>
          <w:lang w:val="mk-MK"/>
        </w:rPr>
        <w:t>ор, користејќи ја релативно добрата инфраструктура како основа.</w:t>
      </w:r>
    </w:p>
    <w:p w14:paraId="2CEEB012" w14:textId="77777777" w:rsidR="00FE200F" w:rsidRDefault="00FE200F">
      <w:pPr>
        <w:jc w:val="both"/>
        <w:rPr>
          <w:rFonts w:ascii="Times New Roman" w:hAnsi="Times New Roman" w:cs="Times New Roman"/>
          <w:color w:val="auto"/>
          <w:lang w:val="mk-MK"/>
        </w:rPr>
      </w:pPr>
    </w:p>
    <w:p w14:paraId="5BE573C3" w14:textId="77777777" w:rsidR="00FE200F" w:rsidRDefault="00E77CAF">
      <w:pPr>
        <w:pStyle w:val="Heading2"/>
        <w:jc w:val="center"/>
        <w:rPr>
          <w:rFonts w:ascii="Times New Roman" w:hAnsi="Times New Roman" w:cs="Times New Roman"/>
          <w:lang w:val="mk-MK"/>
        </w:rPr>
      </w:pPr>
      <w:bookmarkStart w:id="29" w:name="_Toc240630040"/>
      <w:bookmarkStart w:id="30" w:name="_Toc243907983"/>
      <w:r>
        <w:rPr>
          <w:rFonts w:ascii="Times New Roman" w:hAnsi="Times New Roman" w:cs="Times New Roman"/>
          <w:color w:val="auto"/>
          <w:sz w:val="24"/>
          <w:szCs w:val="24"/>
          <w:lang w:val="mk-MK"/>
        </w:rPr>
        <w:t>3. ЕУ УСОГЛАСУВАЊЕ И МЕЃУНАРОДНИ НАЈДОБРИ ПРАКТИКИ</w:t>
      </w:r>
      <w:bookmarkEnd w:id="29"/>
      <w:bookmarkEnd w:id="30"/>
    </w:p>
    <w:p w14:paraId="0C96D5C9"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Стратегијата за употреба на ВИ на Република Северна Македонија мора да биде целосно усогласена со меѓународните стандарди, пред сè поради </w:t>
      </w:r>
      <w:r>
        <w:rPr>
          <w:rFonts w:ascii="Times New Roman" w:hAnsi="Times New Roman" w:cs="Times New Roman"/>
          <w:color w:val="auto"/>
          <w:lang w:val="mk-MK"/>
        </w:rPr>
        <w:t>процесот на пристапување кон ЕУ, но и за да се обезбеди интероперабилност со глобалните пазари и заштита на човековите права. Во Извештајот на Европската комисија за Северна Македонија за 2025 година, експлицитно се наведува: „ЕУ ја повикува Северна Македо</w:t>
      </w:r>
      <w:r>
        <w:rPr>
          <w:rFonts w:ascii="Times New Roman" w:hAnsi="Times New Roman" w:cs="Times New Roman"/>
          <w:color w:val="auto"/>
          <w:lang w:val="mk-MK"/>
        </w:rPr>
        <w:t>нија целосно да се усогласи со Актот за вештачка интелигенција на ЕУ, обезбедувајќи ги неопходните структури за спроведување“. Ова претставува директно барање за итно дејствување.</w:t>
      </w:r>
    </w:p>
    <w:p w14:paraId="1194409C" w14:textId="77777777" w:rsidR="00FE200F" w:rsidRDefault="00FE200F">
      <w:pPr>
        <w:jc w:val="both"/>
        <w:rPr>
          <w:rFonts w:ascii="Times New Roman" w:hAnsi="Times New Roman" w:cs="Times New Roman"/>
          <w:color w:val="auto"/>
          <w:lang w:val="mk-MK"/>
        </w:rPr>
      </w:pPr>
    </w:p>
    <w:p w14:paraId="7F7F6A2C" w14:textId="77777777" w:rsidR="00FE200F" w:rsidRDefault="00E77CAF">
      <w:pPr>
        <w:pStyle w:val="Heading3"/>
        <w:jc w:val="both"/>
        <w:rPr>
          <w:rFonts w:ascii="Times New Roman" w:hAnsi="Times New Roman" w:cs="Times New Roman"/>
          <w:lang w:val="mk-MK"/>
        </w:rPr>
      </w:pPr>
      <w:bookmarkStart w:id="31" w:name="_Toc240630041"/>
      <w:bookmarkStart w:id="32" w:name="_Toc243907984"/>
      <w:r>
        <w:rPr>
          <w:rFonts w:ascii="Times New Roman" w:hAnsi="Times New Roman" w:cs="Times New Roman"/>
          <w:color w:val="auto"/>
          <w:szCs w:val="24"/>
          <w:lang w:val="mk-MK"/>
        </w:rPr>
        <w:t>3.1 ЕУ Акт за вештачка интелигенција (</w:t>
      </w:r>
      <w:r>
        <w:rPr>
          <w:rFonts w:ascii="Times New Roman" w:hAnsi="Times New Roman" w:cs="Times New Roman"/>
          <w:i/>
          <w:iCs/>
          <w:color w:val="auto"/>
          <w:szCs w:val="24"/>
          <w:lang w:val="mk-MK"/>
        </w:rPr>
        <w:t>EU AI Act</w:t>
      </w:r>
      <w:r>
        <w:rPr>
          <w:rFonts w:ascii="Times New Roman" w:hAnsi="Times New Roman" w:cs="Times New Roman"/>
          <w:color w:val="auto"/>
          <w:szCs w:val="24"/>
          <w:lang w:val="mk-MK"/>
        </w:rPr>
        <w:t>)</w:t>
      </w:r>
      <w:bookmarkEnd w:id="31"/>
      <w:bookmarkEnd w:id="32"/>
    </w:p>
    <w:p w14:paraId="56192174"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ЕУ Актот за вештачка интел</w:t>
      </w:r>
      <w:r>
        <w:rPr>
          <w:rFonts w:ascii="Times New Roman" w:hAnsi="Times New Roman" w:cs="Times New Roman"/>
          <w:color w:val="auto"/>
          <w:lang w:val="mk-MK"/>
        </w:rPr>
        <w:t>игенција — Регулатива (ЕУ) 2024/1689 — стапи во сила на 1 август 2024 година и е изменет со Регулативата (ЕУ) 2026/1744, позната како Дигитален омнибус за ВИ. Тој воспоставува единствена правна рамка за пласман на пазарот, ставање во употреба и употреба на</w:t>
      </w:r>
      <w:r>
        <w:rPr>
          <w:rFonts w:ascii="Times New Roman" w:hAnsi="Times New Roman" w:cs="Times New Roman"/>
          <w:color w:val="auto"/>
          <w:lang w:val="mk-MK"/>
        </w:rPr>
        <w:t xml:space="preserve"> ВИ системи во Унијата, со пристап заснован на ризик и со правила за забранети практики, високоризични системи, транспарентност, модели за ВИ со општа намена, управување и спроведување. Како регулатива, тој е директно применлив во државите членки на ЕУ. За</w:t>
      </w:r>
      <w:r>
        <w:rPr>
          <w:rFonts w:ascii="Times New Roman" w:hAnsi="Times New Roman" w:cs="Times New Roman"/>
          <w:color w:val="auto"/>
          <w:lang w:val="mk-MK"/>
        </w:rPr>
        <w:t xml:space="preserve"> Република Северна Македонија, како држава кандидат, тој е референтна рамка за апроксимација со правното наследство на ЕУ и за подготовка на национална правна и институционална рамка. Соодветната правна техника, опфатот на националните правила и распределб</w:t>
      </w:r>
      <w:r>
        <w:rPr>
          <w:rFonts w:ascii="Times New Roman" w:hAnsi="Times New Roman" w:cs="Times New Roman"/>
          <w:color w:val="auto"/>
          <w:lang w:val="mk-MK"/>
        </w:rPr>
        <w:t>ата на надлежностите се утврдуваат со правна анализа, табела на усогласеност, официјален скрининг и, по потреба, консултации во рамките на пристапниот процес.</w:t>
      </w:r>
    </w:p>
    <w:p w14:paraId="1D254891" w14:textId="77777777" w:rsidR="00FE200F" w:rsidRDefault="00E77CAF">
      <w:pPr>
        <w:jc w:val="both"/>
        <w:rPr>
          <w:rFonts w:ascii="Times New Roman" w:hAnsi="Times New Roman" w:cs="Times New Roman"/>
          <w:color w:val="auto"/>
          <w:lang w:val="mk-MK"/>
        </w:rPr>
      </w:pPr>
      <w:r>
        <w:rPr>
          <w:rFonts w:ascii="Times New Roman" w:hAnsi="Times New Roman" w:cs="Times New Roman"/>
          <w:noProof/>
          <w:color w:val="auto"/>
        </w:rPr>
        <w:drawing>
          <wp:anchor distT="0" distB="0" distL="0" distR="0" simplePos="0" relativeHeight="2" behindDoc="0" locked="0" layoutInCell="0" allowOverlap="1" wp14:anchorId="77A3625C" wp14:editId="52015550">
            <wp:simplePos x="0" y="0"/>
            <wp:positionH relativeFrom="margin">
              <wp:align>center</wp:align>
            </wp:positionH>
            <wp:positionV relativeFrom="paragraph">
              <wp:posOffset>73660</wp:posOffset>
            </wp:positionV>
            <wp:extent cx="4442460" cy="33750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9"/>
                    <a:srcRect l="861" r="861"/>
                    <a:stretch>
                      <a:fillRect/>
                    </a:stretch>
                  </pic:blipFill>
                  <pic:spPr bwMode="auto">
                    <a:xfrm>
                      <a:off x="0" y="0"/>
                      <a:ext cx="4442460" cy="3375025"/>
                    </a:xfrm>
                    <a:prstGeom prst="rect">
                      <a:avLst/>
                    </a:prstGeom>
                  </pic:spPr>
                </pic:pic>
              </a:graphicData>
            </a:graphic>
          </wp:anchor>
        </w:drawing>
      </w:r>
    </w:p>
    <w:p w14:paraId="3A5DABF5" w14:textId="77777777" w:rsidR="00FE200F" w:rsidRDefault="00FE200F">
      <w:pPr>
        <w:jc w:val="both"/>
        <w:rPr>
          <w:rFonts w:ascii="Times New Roman" w:hAnsi="Times New Roman" w:cs="Times New Roman"/>
          <w:color w:val="auto"/>
          <w:lang w:val="mk-MK"/>
        </w:rPr>
      </w:pPr>
    </w:p>
    <w:p w14:paraId="369AA235" w14:textId="77777777" w:rsidR="00FE200F" w:rsidRDefault="00FE200F">
      <w:pPr>
        <w:jc w:val="both"/>
        <w:rPr>
          <w:rFonts w:ascii="Times New Roman" w:hAnsi="Times New Roman" w:cs="Times New Roman"/>
          <w:color w:val="auto"/>
          <w:lang w:val="mk-MK"/>
        </w:rPr>
      </w:pPr>
    </w:p>
    <w:p w14:paraId="654D9AAD" w14:textId="77777777" w:rsidR="00FE200F" w:rsidRDefault="00FE200F">
      <w:pPr>
        <w:jc w:val="both"/>
        <w:rPr>
          <w:rFonts w:ascii="Times New Roman" w:hAnsi="Times New Roman" w:cs="Times New Roman"/>
          <w:color w:val="auto"/>
          <w:lang w:val="mk-MK"/>
        </w:rPr>
      </w:pPr>
    </w:p>
    <w:p w14:paraId="6D33CD5D" w14:textId="77777777" w:rsidR="00FE200F" w:rsidRDefault="00FE200F">
      <w:pPr>
        <w:jc w:val="both"/>
        <w:rPr>
          <w:rFonts w:ascii="Times New Roman" w:hAnsi="Times New Roman" w:cs="Times New Roman"/>
          <w:color w:val="auto"/>
          <w:lang w:val="mk-MK"/>
        </w:rPr>
      </w:pPr>
    </w:p>
    <w:p w14:paraId="775A65EA" w14:textId="77777777" w:rsidR="00FE200F" w:rsidRDefault="00FE200F">
      <w:pPr>
        <w:jc w:val="both"/>
        <w:rPr>
          <w:rFonts w:ascii="Times New Roman" w:hAnsi="Times New Roman" w:cs="Times New Roman"/>
          <w:color w:val="auto"/>
          <w:lang w:val="mk-MK"/>
        </w:rPr>
      </w:pPr>
    </w:p>
    <w:p w14:paraId="6204A8E2" w14:textId="77777777" w:rsidR="00FE200F" w:rsidRDefault="00FE200F">
      <w:pPr>
        <w:jc w:val="both"/>
        <w:rPr>
          <w:rFonts w:ascii="Times New Roman" w:hAnsi="Times New Roman" w:cs="Times New Roman"/>
          <w:color w:val="auto"/>
        </w:rPr>
      </w:pPr>
    </w:p>
    <w:p w14:paraId="67CFCF13" w14:textId="77777777" w:rsidR="00FE200F" w:rsidRDefault="00FE200F">
      <w:pPr>
        <w:jc w:val="both"/>
        <w:rPr>
          <w:rFonts w:ascii="Times New Roman" w:hAnsi="Times New Roman" w:cs="Times New Roman"/>
          <w:color w:val="auto"/>
          <w:lang w:val="mk-MK"/>
        </w:rPr>
      </w:pPr>
    </w:p>
    <w:p w14:paraId="2A47F81A" w14:textId="77777777" w:rsidR="00FE200F" w:rsidRDefault="00FE200F">
      <w:pPr>
        <w:jc w:val="both"/>
        <w:rPr>
          <w:rFonts w:ascii="Times New Roman" w:hAnsi="Times New Roman" w:cs="Times New Roman"/>
          <w:color w:val="auto"/>
          <w:lang w:val="mk-MK"/>
        </w:rPr>
      </w:pPr>
    </w:p>
    <w:p w14:paraId="2605BC03" w14:textId="77777777" w:rsidR="00FE200F" w:rsidRDefault="00FE200F">
      <w:pPr>
        <w:jc w:val="both"/>
        <w:rPr>
          <w:rFonts w:ascii="Times New Roman" w:hAnsi="Times New Roman" w:cs="Times New Roman"/>
          <w:color w:val="auto"/>
          <w:lang w:val="mk-MK"/>
        </w:rPr>
      </w:pPr>
    </w:p>
    <w:p w14:paraId="450A8C44" w14:textId="77777777" w:rsidR="00FE200F" w:rsidRDefault="00FE200F">
      <w:pPr>
        <w:jc w:val="both"/>
        <w:rPr>
          <w:rFonts w:ascii="Times New Roman" w:hAnsi="Times New Roman" w:cs="Times New Roman"/>
          <w:color w:val="auto"/>
          <w:lang w:val="mk-MK"/>
        </w:rPr>
      </w:pPr>
    </w:p>
    <w:p w14:paraId="40B3E9FD" w14:textId="77777777" w:rsidR="00FE200F" w:rsidRDefault="00FE200F">
      <w:pPr>
        <w:jc w:val="both"/>
        <w:rPr>
          <w:rFonts w:ascii="Times New Roman" w:hAnsi="Times New Roman" w:cs="Times New Roman"/>
          <w:color w:val="auto"/>
          <w:lang w:val="mk-MK"/>
        </w:rPr>
      </w:pPr>
    </w:p>
    <w:p w14:paraId="51246E38" w14:textId="77777777" w:rsidR="00FE200F" w:rsidRDefault="00FE200F">
      <w:pPr>
        <w:jc w:val="both"/>
        <w:rPr>
          <w:rFonts w:ascii="Times New Roman" w:hAnsi="Times New Roman" w:cs="Times New Roman"/>
          <w:color w:val="auto"/>
          <w:lang w:val="mk-MK"/>
        </w:rPr>
      </w:pPr>
    </w:p>
    <w:p w14:paraId="7DA535FA" w14:textId="77777777" w:rsidR="00FE200F" w:rsidRDefault="00FE200F">
      <w:pPr>
        <w:jc w:val="both"/>
        <w:rPr>
          <w:rFonts w:ascii="Times New Roman" w:hAnsi="Times New Roman" w:cs="Times New Roman"/>
          <w:color w:val="auto"/>
          <w:lang w:val="mk-MK"/>
        </w:rPr>
      </w:pPr>
    </w:p>
    <w:p w14:paraId="4614BDA4" w14:textId="77777777" w:rsidR="00FE200F" w:rsidRDefault="00E77CAF">
      <w:pPr>
        <w:pStyle w:val="Caption"/>
        <w:jc w:val="both"/>
        <w:rPr>
          <w:rFonts w:ascii="Times New Roman" w:hAnsi="Times New Roman" w:cs="Times New Roman"/>
          <w:i/>
          <w:color w:val="auto"/>
          <w:sz w:val="20"/>
          <w:lang w:val="mk-MK"/>
        </w:rPr>
      </w:pPr>
      <w:r>
        <w:rPr>
          <w:rFonts w:ascii="Times New Roman" w:hAnsi="Times New Roman" w:cs="Times New Roman"/>
          <w:i/>
          <w:color w:val="auto"/>
          <w:sz w:val="20"/>
          <w:lang w:val="mk-MK"/>
        </w:rPr>
        <w:t>Графикон 2: Класификација на ризик според ЕУ Акт за ВИ (Регулатива 2024/1689)</w:t>
      </w:r>
    </w:p>
    <w:tbl>
      <w:tblPr>
        <w:tblStyle w:val="GridTable5Dark-Accent5"/>
        <w:tblW w:w="9067" w:type="dxa"/>
        <w:shd w:val="clear" w:color="auto" w:fill="DAEEF3"/>
        <w:tblLayout w:type="fixed"/>
        <w:tblLook w:val="04A0" w:firstRow="1" w:lastRow="0" w:firstColumn="1" w:lastColumn="0" w:noHBand="0" w:noVBand="1"/>
      </w:tblPr>
      <w:tblGrid>
        <w:gridCol w:w="2118"/>
        <w:gridCol w:w="3264"/>
        <w:gridCol w:w="3685"/>
      </w:tblGrid>
      <w:tr w:rsidR="00FE200F" w14:paraId="32280E46" w14:textId="77777777" w:rsidTr="00FE20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8" w:type="dxa"/>
          </w:tcPr>
          <w:p w14:paraId="24BC2627" w14:textId="77777777" w:rsidR="00FE200F" w:rsidRDefault="00E77CAF">
            <w:pPr>
              <w:rPr>
                <w:rFonts w:ascii="Times New Roman" w:hAnsi="Times New Roman" w:cs="Times New Roman"/>
                <w:lang w:val="mk-MK"/>
              </w:rPr>
            </w:pPr>
            <w:r>
              <w:rPr>
                <w:rFonts w:ascii="Times New Roman" w:hAnsi="Times New Roman" w:cs="Times New Roman"/>
                <w:color w:val="auto"/>
                <w:sz w:val="20"/>
                <w:lang w:val="mk-MK"/>
              </w:rPr>
              <w:t>Датум</w:t>
            </w:r>
          </w:p>
        </w:tc>
        <w:tc>
          <w:tcPr>
            <w:tcW w:w="3264" w:type="dxa"/>
            <w:tcBorders>
              <w:bottom w:val="nil"/>
            </w:tcBorders>
          </w:tcPr>
          <w:p w14:paraId="61107D62" w14:textId="77777777" w:rsidR="00FE200F" w:rsidRDefault="00E77CA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lang w:val="mk-MK"/>
              </w:rPr>
              <w:t>Мерка од ЕУ Актот за ВИ</w:t>
            </w:r>
          </w:p>
        </w:tc>
        <w:tc>
          <w:tcPr>
            <w:tcW w:w="3685" w:type="dxa"/>
            <w:tcBorders>
              <w:bottom w:val="nil"/>
            </w:tcBorders>
          </w:tcPr>
          <w:p w14:paraId="50A702ED" w14:textId="77777777" w:rsidR="00FE200F" w:rsidRDefault="00E77CA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lang w:val="mk-MK"/>
              </w:rPr>
              <w:t>Импликација за Северна Македонија</w:t>
            </w:r>
          </w:p>
        </w:tc>
      </w:tr>
      <w:tr w:rsidR="00FE200F" w14:paraId="53A4E309"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8" w:type="dxa"/>
            <w:tcBorders>
              <w:right w:val="nil"/>
            </w:tcBorders>
          </w:tcPr>
          <w:p w14:paraId="45B8548B" w14:textId="44CD2925" w:rsidR="00FE200F" w:rsidRDefault="00E77CAF">
            <w:pPr>
              <w:rPr>
                <w:rFonts w:ascii="Times New Roman" w:hAnsi="Times New Roman" w:cs="Times New Roman"/>
                <w:lang w:val="mk-MK"/>
              </w:rPr>
            </w:pPr>
            <w:r>
              <w:rPr>
                <w:rFonts w:ascii="Times New Roman" w:hAnsi="Times New Roman" w:cs="Times New Roman"/>
                <w:color w:val="auto"/>
                <w:sz w:val="20"/>
                <w:lang w:val="mk-MK"/>
              </w:rPr>
              <w:t>август 2024</w:t>
            </w:r>
          </w:p>
        </w:tc>
        <w:tc>
          <w:tcPr>
            <w:tcW w:w="3264" w:type="dxa"/>
          </w:tcPr>
          <w:p w14:paraId="4B902C6A"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lang w:val="mk-MK"/>
              </w:rPr>
              <w:t>Стапување во сила на Регулативата (ЕУ) 2024/1689</w:t>
            </w:r>
          </w:p>
        </w:tc>
        <w:tc>
          <w:tcPr>
            <w:tcW w:w="3685" w:type="dxa"/>
          </w:tcPr>
          <w:p w14:paraId="7504C921"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lang w:val="mk-MK"/>
              </w:rPr>
              <w:t>Почеток на подготовките за апроксимација со правното наследство на ЕУ.</w:t>
            </w:r>
          </w:p>
        </w:tc>
      </w:tr>
      <w:tr w:rsidR="00FE200F" w14:paraId="69148671" w14:textId="77777777" w:rsidTr="00FE200F">
        <w:tc>
          <w:tcPr>
            <w:cnfStyle w:val="001000000000" w:firstRow="0" w:lastRow="0" w:firstColumn="1" w:lastColumn="0" w:oddVBand="0" w:evenVBand="0" w:oddHBand="0" w:evenHBand="0" w:firstRowFirstColumn="0" w:firstRowLastColumn="0" w:lastRowFirstColumn="0" w:lastRowLastColumn="0"/>
            <w:tcW w:w="2118" w:type="dxa"/>
            <w:tcBorders>
              <w:right w:val="nil"/>
            </w:tcBorders>
          </w:tcPr>
          <w:p w14:paraId="77A6A742" w14:textId="4099ECC2" w:rsidR="00FE200F" w:rsidRDefault="00E77CAF">
            <w:pPr>
              <w:rPr>
                <w:rFonts w:ascii="Times New Roman" w:hAnsi="Times New Roman" w:cs="Times New Roman"/>
                <w:lang w:val="mk-MK"/>
              </w:rPr>
            </w:pPr>
            <w:r>
              <w:rPr>
                <w:rFonts w:ascii="Times New Roman" w:hAnsi="Times New Roman" w:cs="Times New Roman"/>
                <w:color w:val="auto"/>
                <w:sz w:val="20"/>
                <w:lang w:val="mk-MK"/>
              </w:rPr>
              <w:t>февруари 2025</w:t>
            </w:r>
          </w:p>
        </w:tc>
        <w:tc>
          <w:tcPr>
            <w:tcW w:w="3264" w:type="dxa"/>
          </w:tcPr>
          <w:p w14:paraId="4F6B8AC2"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lang w:val="mk-MK"/>
              </w:rPr>
              <w:t>Примена на забранетите практики и на мерките</w:t>
            </w:r>
            <w:r>
              <w:rPr>
                <w:rFonts w:ascii="Times New Roman" w:hAnsi="Times New Roman" w:cs="Times New Roman"/>
                <w:color w:val="auto"/>
                <w:sz w:val="20"/>
                <w:lang w:val="mk-MK"/>
              </w:rPr>
              <w:t xml:space="preserve"> за ВИ-писменост, со исклучоците утврдени во Регулативата (ЕУ) 2026/1744</w:t>
            </w:r>
          </w:p>
        </w:tc>
        <w:tc>
          <w:tcPr>
            <w:tcW w:w="3685" w:type="dxa"/>
          </w:tcPr>
          <w:p w14:paraId="6BB71103"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lang w:val="mk-MK"/>
              </w:rPr>
              <w:t>Регулаторен контекст за рана правна анализа и информирање; не претставува автоматски домашен рок.</w:t>
            </w:r>
          </w:p>
        </w:tc>
      </w:tr>
      <w:tr w:rsidR="00FE200F" w14:paraId="7EC71A9F"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8" w:type="dxa"/>
            <w:tcBorders>
              <w:right w:val="nil"/>
            </w:tcBorders>
          </w:tcPr>
          <w:p w14:paraId="53767B89" w14:textId="19C81950" w:rsidR="00FE200F" w:rsidRDefault="009C2D42">
            <w:pPr>
              <w:rPr>
                <w:rFonts w:ascii="Times New Roman" w:hAnsi="Times New Roman" w:cs="Times New Roman"/>
                <w:lang w:val="mk-MK"/>
              </w:rPr>
            </w:pPr>
            <w:r>
              <w:rPr>
                <w:rFonts w:ascii="Times New Roman" w:hAnsi="Times New Roman" w:cs="Times New Roman"/>
                <w:color w:val="auto"/>
                <w:sz w:val="20"/>
                <w:lang w:val="mk-MK"/>
              </w:rPr>
              <w:t>август 2025</w:t>
            </w:r>
          </w:p>
        </w:tc>
        <w:tc>
          <w:tcPr>
            <w:tcW w:w="3264" w:type="dxa"/>
          </w:tcPr>
          <w:p w14:paraId="036E127C"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lang w:val="mk-MK"/>
              </w:rPr>
              <w:t xml:space="preserve">Примена на правилата за управување и на обврските за давателите на </w:t>
            </w:r>
            <w:r>
              <w:rPr>
                <w:rFonts w:ascii="Times New Roman" w:hAnsi="Times New Roman" w:cs="Times New Roman"/>
                <w:color w:val="auto"/>
                <w:sz w:val="20"/>
                <w:lang w:val="mk-MK"/>
              </w:rPr>
              <w:t>модели за ВИ со општа намена</w:t>
            </w:r>
          </w:p>
        </w:tc>
        <w:tc>
          <w:tcPr>
            <w:tcW w:w="3685" w:type="dxa"/>
          </w:tcPr>
          <w:p w14:paraId="30C7DF1D"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lang w:val="mk-MK"/>
              </w:rPr>
              <w:t>Подготовка на засегнатите субјекти за барањата на пазарот на ЕУ, кога се применливи според член 2.</w:t>
            </w:r>
          </w:p>
        </w:tc>
      </w:tr>
      <w:tr w:rsidR="00FE200F" w14:paraId="536A953B" w14:textId="77777777" w:rsidTr="00FE200F">
        <w:tc>
          <w:tcPr>
            <w:cnfStyle w:val="001000000000" w:firstRow="0" w:lastRow="0" w:firstColumn="1" w:lastColumn="0" w:oddVBand="0" w:evenVBand="0" w:oddHBand="0" w:evenHBand="0" w:firstRowFirstColumn="0" w:firstRowLastColumn="0" w:lastRowFirstColumn="0" w:lastRowLastColumn="0"/>
            <w:tcW w:w="2118" w:type="dxa"/>
            <w:tcBorders>
              <w:right w:val="nil"/>
            </w:tcBorders>
          </w:tcPr>
          <w:p w14:paraId="375543B8" w14:textId="4067A729" w:rsidR="00FE200F" w:rsidRDefault="00E77CAF">
            <w:pPr>
              <w:rPr>
                <w:rFonts w:ascii="Times New Roman" w:hAnsi="Times New Roman" w:cs="Times New Roman"/>
                <w:lang w:val="mk-MK"/>
              </w:rPr>
            </w:pPr>
            <w:r>
              <w:rPr>
                <w:rFonts w:ascii="Times New Roman" w:hAnsi="Times New Roman" w:cs="Times New Roman"/>
                <w:color w:val="auto"/>
                <w:sz w:val="20"/>
                <w:lang w:val="mk-MK"/>
              </w:rPr>
              <w:t>август 2026</w:t>
            </w:r>
          </w:p>
        </w:tc>
        <w:tc>
          <w:tcPr>
            <w:tcW w:w="3264" w:type="dxa"/>
          </w:tcPr>
          <w:p w14:paraId="5D13AA5B"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lang w:val="mk-MK"/>
              </w:rPr>
              <w:t>Општа примена на Регулативата, вклучително и на релевантните правила за транспарентност, со посебните исклучоци и о</w:t>
            </w:r>
            <w:r>
              <w:rPr>
                <w:rFonts w:ascii="Times New Roman" w:hAnsi="Times New Roman" w:cs="Times New Roman"/>
                <w:color w:val="auto"/>
                <w:sz w:val="20"/>
                <w:lang w:val="mk-MK"/>
              </w:rPr>
              <w:t>дложени рокови</w:t>
            </w:r>
          </w:p>
        </w:tc>
        <w:tc>
          <w:tcPr>
            <w:tcW w:w="3685" w:type="dxa"/>
          </w:tcPr>
          <w:p w14:paraId="567B4DF5"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lang w:val="mk-MK"/>
              </w:rPr>
              <w:t>Регулаторен контекст; националните активности се спроведуваат според роковите на Акцискиот план.</w:t>
            </w:r>
          </w:p>
        </w:tc>
      </w:tr>
      <w:tr w:rsidR="00FE200F" w14:paraId="6E44A020"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8" w:type="dxa"/>
            <w:tcBorders>
              <w:right w:val="nil"/>
            </w:tcBorders>
          </w:tcPr>
          <w:p w14:paraId="3AEBE17C" w14:textId="75BAC895" w:rsidR="00FE200F" w:rsidRDefault="00E77CAF">
            <w:pPr>
              <w:rPr>
                <w:rFonts w:ascii="Times New Roman" w:hAnsi="Times New Roman" w:cs="Times New Roman"/>
                <w:lang w:val="mk-MK"/>
              </w:rPr>
            </w:pPr>
            <w:r>
              <w:rPr>
                <w:rFonts w:ascii="Times New Roman" w:hAnsi="Times New Roman" w:cs="Times New Roman"/>
                <w:color w:val="auto"/>
                <w:sz w:val="20"/>
                <w:lang w:val="mk-MK"/>
              </w:rPr>
              <w:t>декември 2026</w:t>
            </w:r>
          </w:p>
        </w:tc>
        <w:tc>
          <w:tcPr>
            <w:tcW w:w="3264" w:type="dxa"/>
          </w:tcPr>
          <w:p w14:paraId="06361EDA"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lang w:val="mk-MK"/>
              </w:rPr>
              <w:t>Примена на дополнителните забрани за неовластено генерирање или манипулирање со интимна содржина и за содржина со сексуална злоуп</w:t>
            </w:r>
            <w:r>
              <w:rPr>
                <w:rFonts w:ascii="Times New Roman" w:hAnsi="Times New Roman" w:cs="Times New Roman"/>
                <w:color w:val="auto"/>
                <w:sz w:val="20"/>
                <w:lang w:val="mk-MK"/>
              </w:rPr>
              <w:t>отреба на деца</w:t>
            </w:r>
          </w:p>
        </w:tc>
        <w:tc>
          <w:tcPr>
            <w:tcW w:w="3685" w:type="dxa"/>
          </w:tcPr>
          <w:p w14:paraId="654A4BA3"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lang w:val="mk-MK"/>
              </w:rPr>
              <w:t>Регулаторен контекст за правна анализа и превентивни насоки.</w:t>
            </w:r>
          </w:p>
        </w:tc>
      </w:tr>
      <w:tr w:rsidR="00FE200F" w14:paraId="539A268A" w14:textId="77777777" w:rsidTr="00FE200F">
        <w:tc>
          <w:tcPr>
            <w:cnfStyle w:val="001000000000" w:firstRow="0" w:lastRow="0" w:firstColumn="1" w:lastColumn="0" w:oddVBand="0" w:evenVBand="0" w:oddHBand="0" w:evenHBand="0" w:firstRowFirstColumn="0" w:firstRowLastColumn="0" w:lastRowFirstColumn="0" w:lastRowLastColumn="0"/>
            <w:tcW w:w="2118" w:type="dxa"/>
            <w:tcBorders>
              <w:right w:val="nil"/>
            </w:tcBorders>
          </w:tcPr>
          <w:p w14:paraId="59BFEBC0" w14:textId="255EE2DC" w:rsidR="00FE200F" w:rsidRDefault="009C2D42">
            <w:pPr>
              <w:rPr>
                <w:rFonts w:ascii="Times New Roman" w:hAnsi="Times New Roman" w:cs="Times New Roman"/>
                <w:lang w:val="mk-MK"/>
              </w:rPr>
            </w:pPr>
            <w:r>
              <w:rPr>
                <w:rFonts w:ascii="Times New Roman" w:hAnsi="Times New Roman" w:cs="Times New Roman"/>
                <w:color w:val="auto"/>
                <w:sz w:val="20"/>
                <w:lang w:val="mk-MK"/>
              </w:rPr>
              <w:t>декември 2027</w:t>
            </w:r>
          </w:p>
        </w:tc>
        <w:tc>
          <w:tcPr>
            <w:tcW w:w="3264" w:type="dxa"/>
          </w:tcPr>
          <w:p w14:paraId="32C415D1"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lang w:val="mk-MK"/>
              </w:rPr>
              <w:t>Примена на правилата за високоризични ВИ системи од член 6 став 2 и Анекс III</w:t>
            </w:r>
          </w:p>
        </w:tc>
        <w:tc>
          <w:tcPr>
            <w:tcW w:w="3685" w:type="dxa"/>
          </w:tcPr>
          <w:p w14:paraId="2785D070"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lang w:val="mk-MK"/>
              </w:rPr>
              <w:t>Подготовка на засегнатите сектори за пристап до пазарот на ЕУ; рокот не е автоматски на</w:t>
            </w:r>
            <w:r>
              <w:rPr>
                <w:rFonts w:ascii="Times New Roman" w:hAnsi="Times New Roman" w:cs="Times New Roman"/>
                <w:color w:val="auto"/>
                <w:sz w:val="20"/>
                <w:lang w:val="mk-MK"/>
              </w:rPr>
              <w:t>ционален рок.</w:t>
            </w:r>
          </w:p>
        </w:tc>
      </w:tr>
      <w:tr w:rsidR="00FE200F" w14:paraId="036544E1"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8" w:type="dxa"/>
            <w:tcBorders>
              <w:right w:val="nil"/>
            </w:tcBorders>
          </w:tcPr>
          <w:p w14:paraId="5BC54B68" w14:textId="4551C183" w:rsidR="00FE200F" w:rsidRDefault="00E77CAF">
            <w:pPr>
              <w:rPr>
                <w:rFonts w:ascii="Times New Roman" w:hAnsi="Times New Roman" w:cs="Times New Roman"/>
                <w:lang w:val="mk-MK"/>
              </w:rPr>
            </w:pPr>
            <w:r>
              <w:rPr>
                <w:rFonts w:ascii="Times New Roman" w:hAnsi="Times New Roman" w:cs="Times New Roman"/>
                <w:color w:val="auto"/>
                <w:sz w:val="20"/>
                <w:lang w:val="mk-MK"/>
              </w:rPr>
              <w:t>август 2028</w:t>
            </w:r>
          </w:p>
        </w:tc>
        <w:tc>
          <w:tcPr>
            <w:tcW w:w="3264" w:type="dxa"/>
          </w:tcPr>
          <w:p w14:paraId="3AEAB55D"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lang w:val="mk-MK"/>
              </w:rPr>
              <w:t>Примена на правилата за високоризични ВИ системи од член 6 став 1 и Анекс I</w:t>
            </w:r>
          </w:p>
        </w:tc>
        <w:tc>
          <w:tcPr>
            <w:tcW w:w="3685" w:type="dxa"/>
          </w:tcPr>
          <w:p w14:paraId="593C8FCB"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lang w:val="mk-MK"/>
              </w:rPr>
              <w:t>Подготовка на засегнатите производители и други оператори, кога правилата се применливи.</w:t>
            </w:r>
          </w:p>
        </w:tc>
      </w:tr>
    </w:tbl>
    <w:p w14:paraId="5F100EF4" w14:textId="77777777" w:rsidR="00FE200F" w:rsidRDefault="00FE200F">
      <w:pPr>
        <w:jc w:val="both"/>
        <w:rPr>
          <w:rFonts w:ascii="Times New Roman" w:hAnsi="Times New Roman" w:cs="Times New Roman"/>
          <w:color w:val="auto"/>
          <w:lang w:val="mk-MK"/>
        </w:rPr>
      </w:pPr>
    </w:p>
    <w:p w14:paraId="061A8EB8"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Детална класификација на ризик и обврски:</w:t>
      </w:r>
    </w:p>
    <w:p w14:paraId="43E1E7C9" w14:textId="77777777" w:rsidR="00FE200F" w:rsidRPr="009C2D42" w:rsidRDefault="00E77CAF">
      <w:pPr>
        <w:pStyle w:val="ListNumber"/>
        <w:numPr>
          <w:ilvl w:val="0"/>
          <w:numId w:val="25"/>
        </w:numPr>
        <w:jc w:val="both"/>
        <w:rPr>
          <w:rFonts w:ascii="Times New Roman" w:hAnsi="Times New Roman" w:cs="Times New Roman"/>
          <w:lang w:val="mk-MK"/>
        </w:rPr>
      </w:pPr>
      <w:r w:rsidRPr="009C2D42">
        <w:rPr>
          <w:rFonts w:ascii="Times New Roman" w:hAnsi="Times New Roman" w:cs="Times New Roman"/>
          <w:color w:val="auto"/>
          <w:lang w:val="mk-MK"/>
        </w:rPr>
        <w:t>Забранети практики (член 5): Поедноставената поделба по нивоа на ризик е само објаснувачка; правната оценка се врши според конкретната намена, опфат и условите од Регулативата. Член 5 забранува, под условите утврдени во него: употреба на сублиминални, наме</w:t>
      </w:r>
      <w:r w:rsidRPr="009C2D42">
        <w:rPr>
          <w:rFonts w:ascii="Times New Roman" w:hAnsi="Times New Roman" w:cs="Times New Roman"/>
          <w:color w:val="auto"/>
          <w:lang w:val="mk-MK"/>
        </w:rPr>
        <w:t xml:space="preserve">рно манипулативни или измамнички техники што предизвикуваат значителна штета; искористување ранливости поради возраст, попреченост или социјална или економска состојба што предизвикува значителна штета; неовластено </w:t>
      </w:r>
      <w:r w:rsidRPr="009C2D42">
        <w:rPr>
          <w:rFonts w:ascii="Times New Roman" w:hAnsi="Times New Roman" w:cs="Times New Roman"/>
          <w:color w:val="auto"/>
          <w:lang w:val="mk-MK"/>
        </w:rPr>
        <w:lastRenderedPageBreak/>
        <w:t>генерирање или манипулирање со реалистичн</w:t>
      </w:r>
      <w:r w:rsidRPr="009C2D42">
        <w:rPr>
          <w:rFonts w:ascii="Times New Roman" w:hAnsi="Times New Roman" w:cs="Times New Roman"/>
          <w:color w:val="auto"/>
          <w:lang w:val="mk-MK"/>
        </w:rPr>
        <w:t>а интимна содржина и содржина со сексуална злоупотреба на деца; социјално бодување кога се исполнети законските услови за штетен, неоправдан или несразмерен третман; процена или предвидување ризик од сторување кривично дело засновано единствено на профилир</w:t>
      </w:r>
      <w:r w:rsidRPr="009C2D42">
        <w:rPr>
          <w:rFonts w:ascii="Times New Roman" w:hAnsi="Times New Roman" w:cs="Times New Roman"/>
          <w:color w:val="auto"/>
          <w:lang w:val="mk-MK"/>
        </w:rPr>
        <w:t>ање или на оцена на личноста; нетаргетирано прибирање фотографии од интернет или од видеонадзор за бази на податоци за препознавање лица; заклучување емоции на работното место и во образовните установи, освен за медицински или безбедносни цели; биометриска</w:t>
      </w:r>
      <w:r w:rsidRPr="009C2D42">
        <w:rPr>
          <w:rFonts w:ascii="Times New Roman" w:hAnsi="Times New Roman" w:cs="Times New Roman"/>
          <w:color w:val="auto"/>
          <w:lang w:val="mk-MK"/>
        </w:rPr>
        <w:t xml:space="preserve"> категоризација за изведување заштитени лични карактеристики; и употреба на биометриска идентификација од далечина во реално време на јавно достапни места за спроведување на законот, освен во строго определените случаи и под условите од член 5.</w:t>
      </w:r>
    </w:p>
    <w:p w14:paraId="4C85D3AC" w14:textId="77777777" w:rsidR="00FE200F" w:rsidRDefault="00E77CAF">
      <w:pPr>
        <w:pStyle w:val="ListNumber"/>
        <w:numPr>
          <w:ilvl w:val="0"/>
          <w:numId w:val="26"/>
        </w:numPr>
        <w:jc w:val="both"/>
        <w:rPr>
          <w:rFonts w:ascii="Times New Roman" w:hAnsi="Times New Roman" w:cs="Times New Roman"/>
          <w:lang w:val="mk-MK"/>
        </w:rPr>
      </w:pPr>
      <w:r>
        <w:rPr>
          <w:rFonts w:ascii="Times New Roman" w:hAnsi="Times New Roman" w:cs="Times New Roman"/>
          <w:b/>
          <w:bCs/>
          <w:color w:val="auto"/>
          <w:lang w:val="mk-MK"/>
        </w:rPr>
        <w:t>Висок ризик</w:t>
      </w:r>
      <w:r>
        <w:rPr>
          <w:rFonts w:ascii="Times New Roman" w:hAnsi="Times New Roman" w:cs="Times New Roman"/>
          <w:b/>
          <w:bCs/>
          <w:color w:val="auto"/>
          <w:lang w:val="mk-MK"/>
        </w:rPr>
        <w:t xml:space="preserve"> (</w:t>
      </w:r>
      <w:r>
        <w:rPr>
          <w:rFonts w:ascii="Times New Roman" w:hAnsi="Times New Roman" w:cs="Times New Roman"/>
          <w:b/>
          <w:bCs/>
          <w:i/>
          <w:iCs/>
          <w:color w:val="auto"/>
          <w:lang w:val="mk-MK"/>
        </w:rPr>
        <w:t>High risk</w:t>
      </w:r>
      <w:r>
        <w:rPr>
          <w:rFonts w:ascii="Times New Roman" w:hAnsi="Times New Roman" w:cs="Times New Roman"/>
          <w:b/>
          <w:bCs/>
          <w:color w:val="auto"/>
          <w:lang w:val="mk-MK"/>
        </w:rPr>
        <w:t>):</w:t>
      </w:r>
      <w:r>
        <w:rPr>
          <w:rFonts w:ascii="Times New Roman" w:hAnsi="Times New Roman" w:cs="Times New Roman"/>
          <w:color w:val="auto"/>
          <w:lang w:val="mk-MK"/>
        </w:rPr>
        <w:t xml:space="preserve"> Системи кои влијаат на безбедноста или основните права. Ова опфаќа ВИ во критичната инфраструктура, образованието, вработувањето, клучните приватни и јавни услуги (на пр., кредитно бодување), спроведувањето на законите, управувањето со миграција и граничн</w:t>
      </w:r>
      <w:r>
        <w:rPr>
          <w:rFonts w:ascii="Times New Roman" w:hAnsi="Times New Roman" w:cs="Times New Roman"/>
          <w:color w:val="auto"/>
          <w:lang w:val="mk-MK"/>
        </w:rPr>
        <w:t>а контрола, како и администрирањето на правдата. Овие системи подлежат на строги барања: воспоставување систем за управување со ризик, висок квалитет на податоци за обука, детална техничка документација, транспарентност кон корисниците, човечки надзор и ви</w:t>
      </w:r>
      <w:r>
        <w:rPr>
          <w:rFonts w:ascii="Times New Roman" w:hAnsi="Times New Roman" w:cs="Times New Roman"/>
          <w:color w:val="auto"/>
          <w:lang w:val="mk-MK"/>
        </w:rPr>
        <w:t>соко ниво на робусност и сајбер-безбедност.</w:t>
      </w:r>
    </w:p>
    <w:p w14:paraId="45165C87" w14:textId="77777777" w:rsidR="00FE200F" w:rsidRPr="009C2D42" w:rsidRDefault="00E77CAF">
      <w:pPr>
        <w:pStyle w:val="ListNumber"/>
        <w:numPr>
          <w:ilvl w:val="0"/>
          <w:numId w:val="27"/>
        </w:numPr>
        <w:jc w:val="both"/>
        <w:rPr>
          <w:rFonts w:ascii="Times New Roman" w:hAnsi="Times New Roman" w:cs="Times New Roman"/>
          <w:lang w:val="mk-MK"/>
        </w:rPr>
      </w:pPr>
      <w:r w:rsidRPr="009C2D42">
        <w:rPr>
          <w:rFonts w:ascii="Times New Roman" w:hAnsi="Times New Roman" w:cs="Times New Roman"/>
          <w:color w:val="auto"/>
          <w:lang w:val="mk-MK"/>
        </w:rPr>
        <w:t>Транспарентност и контекстуална оценка: Системите како четботови и генераторите на синтетички содржини се предмет на применливи обврски за транспарентност. Препознавањето емоции не се третира автоматски како сист</w:t>
      </w:r>
      <w:r w:rsidRPr="009C2D42">
        <w:rPr>
          <w:rFonts w:ascii="Times New Roman" w:hAnsi="Times New Roman" w:cs="Times New Roman"/>
          <w:color w:val="auto"/>
          <w:lang w:val="mk-MK"/>
        </w:rPr>
        <w:t>ем со ограничен ризик. Надвор од забранетиот контекст на работно место и образование, конкретната употреба се оценува според нејзината намена и применливите правила, вклучително и можната класификација како високоризична и обврските за транспарентност. При</w:t>
      </w:r>
      <w:r w:rsidRPr="009C2D42">
        <w:rPr>
          <w:rFonts w:ascii="Times New Roman" w:hAnsi="Times New Roman" w:cs="Times New Roman"/>
          <w:color w:val="auto"/>
          <w:lang w:val="mk-MK"/>
        </w:rPr>
        <w:t xml:space="preserve"> подготовката на националната рамка се изработува проверена матрица на член 5 со точен опфат, услови, исклучоци и датуми на примена; матрицата подлежи на правна проверка пред усвојување.</w:t>
      </w:r>
    </w:p>
    <w:p w14:paraId="05E8883B" w14:textId="77777777" w:rsidR="00FE200F" w:rsidRDefault="00E77CAF">
      <w:pPr>
        <w:pStyle w:val="ListNumber"/>
        <w:numPr>
          <w:ilvl w:val="0"/>
          <w:numId w:val="28"/>
        </w:numPr>
        <w:jc w:val="both"/>
        <w:rPr>
          <w:rFonts w:ascii="Times New Roman" w:hAnsi="Times New Roman" w:cs="Times New Roman"/>
          <w:lang w:val="mk-MK"/>
        </w:rPr>
      </w:pPr>
      <w:r>
        <w:rPr>
          <w:rFonts w:ascii="Times New Roman" w:hAnsi="Times New Roman" w:cs="Times New Roman"/>
          <w:b/>
          <w:bCs/>
          <w:color w:val="auto"/>
          <w:lang w:val="mk-MK"/>
        </w:rPr>
        <w:t>Минимален ризик (</w:t>
      </w:r>
      <w:r>
        <w:rPr>
          <w:rFonts w:ascii="Times New Roman" w:hAnsi="Times New Roman" w:cs="Times New Roman"/>
          <w:b/>
          <w:bCs/>
          <w:i/>
          <w:iCs/>
          <w:color w:val="auto"/>
          <w:lang w:val="mk-MK"/>
        </w:rPr>
        <w:t>Minimal risk</w:t>
      </w:r>
      <w:r>
        <w:rPr>
          <w:rFonts w:ascii="Times New Roman" w:hAnsi="Times New Roman" w:cs="Times New Roman"/>
          <w:b/>
          <w:bCs/>
          <w:color w:val="auto"/>
          <w:lang w:val="mk-MK"/>
        </w:rPr>
        <w:t>):</w:t>
      </w:r>
      <w:r>
        <w:rPr>
          <w:rFonts w:ascii="Times New Roman" w:hAnsi="Times New Roman" w:cs="Times New Roman"/>
          <w:color w:val="auto"/>
          <w:lang w:val="mk-MK"/>
        </w:rPr>
        <w:t xml:space="preserve">  системи како филтри за спам, видео и</w:t>
      </w:r>
      <w:r>
        <w:rPr>
          <w:rFonts w:ascii="Times New Roman" w:hAnsi="Times New Roman" w:cs="Times New Roman"/>
          <w:color w:val="auto"/>
          <w:lang w:val="mk-MK"/>
        </w:rPr>
        <w:t>гри и сл.  можат да се користат слободно, без дополнителни законски обврски, иако се охрабрува доброволно усвојување на кодекси на однесување.</w:t>
      </w:r>
    </w:p>
    <w:p w14:paraId="44BEE319" w14:textId="77777777" w:rsidR="00FE200F" w:rsidRDefault="00FE200F">
      <w:pPr>
        <w:jc w:val="both"/>
        <w:rPr>
          <w:rFonts w:ascii="Times New Roman" w:hAnsi="Times New Roman" w:cs="Times New Roman"/>
          <w:b/>
          <w:color w:val="auto"/>
          <w:lang w:val="mk-MK"/>
        </w:rPr>
      </w:pPr>
    </w:p>
    <w:p w14:paraId="6A1B219A"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Регулација на модели со општа намена (</w:t>
      </w:r>
      <w:r>
        <w:rPr>
          <w:rFonts w:ascii="Times New Roman" w:hAnsi="Times New Roman" w:cs="Times New Roman"/>
          <w:b/>
          <w:i/>
          <w:iCs/>
          <w:color w:val="auto"/>
          <w:lang w:val="mk-MK"/>
        </w:rPr>
        <w:t>GPAI</w:t>
      </w:r>
      <w:r>
        <w:rPr>
          <w:rFonts w:ascii="Times New Roman" w:hAnsi="Times New Roman" w:cs="Times New Roman"/>
          <w:b/>
          <w:color w:val="auto"/>
          <w:lang w:val="mk-MK"/>
        </w:rPr>
        <w:t>)</w:t>
      </w:r>
    </w:p>
    <w:p w14:paraId="2DE503E3"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Моделите за ВИ со општа намена можат да извршуваат широк опсег разли</w:t>
      </w:r>
      <w:r>
        <w:rPr>
          <w:rFonts w:ascii="Times New Roman" w:hAnsi="Times New Roman" w:cs="Times New Roman"/>
          <w:color w:val="auto"/>
          <w:lang w:val="mk-MK"/>
        </w:rPr>
        <w:t>чни задачи и да се вградуваат во повеќе последователни системи или примени. Обврските се утврдуваат според фактичката улога во синџирот на вредност. Давателот на модел со општа намена е субјектот што го развива моделот или го дава да се развие и го пласира</w:t>
      </w:r>
      <w:r>
        <w:rPr>
          <w:rFonts w:ascii="Times New Roman" w:hAnsi="Times New Roman" w:cs="Times New Roman"/>
          <w:color w:val="auto"/>
          <w:lang w:val="mk-MK"/>
        </w:rPr>
        <w:t xml:space="preserve"> на пазарот на ЕУ под свое име или трговска марка. Давател по синџирот на вредност е давател на ВИ систем што интегрира таков модел. Распоредувач е субјектот што користи ВИ систем под своја надлежност; јавниот набавувач не е самостојна категорија оператор </w:t>
      </w:r>
      <w:r>
        <w:rPr>
          <w:rFonts w:ascii="Times New Roman" w:hAnsi="Times New Roman" w:cs="Times New Roman"/>
          <w:color w:val="auto"/>
          <w:lang w:val="mk-MK"/>
        </w:rPr>
        <w:t>според Актот, туку неговата улога зависи од тоа дали само набавува и користи систем, го интегрира или го става на пазарот.</w:t>
      </w:r>
    </w:p>
    <w:p w14:paraId="45D2E75E"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Обврските за документација, информации за последователните даватели, авторски права, јавно резиме на содржината за обука и, кога е пр</w:t>
      </w:r>
      <w:r>
        <w:rPr>
          <w:rFonts w:ascii="Times New Roman" w:hAnsi="Times New Roman" w:cs="Times New Roman"/>
          <w:color w:val="auto"/>
          <w:lang w:val="mk-MK"/>
        </w:rPr>
        <w:t xml:space="preserve">именливо, управување со системски ризици, </w:t>
      </w:r>
      <w:r>
        <w:rPr>
          <w:rFonts w:ascii="Times New Roman" w:hAnsi="Times New Roman" w:cs="Times New Roman"/>
          <w:color w:val="auto"/>
          <w:lang w:val="mk-MK"/>
        </w:rPr>
        <w:lastRenderedPageBreak/>
        <w:t>се разгледуваат според конкретната улога и применливите одредби. Јавните институции не се претпоставуваат како даватели на модели со општа намена. Во јавните набавки и при интеграција на модели се предвидува провер</w:t>
      </w:r>
      <w:r>
        <w:rPr>
          <w:rFonts w:ascii="Times New Roman" w:hAnsi="Times New Roman" w:cs="Times New Roman"/>
          <w:color w:val="auto"/>
          <w:lang w:val="mk-MK"/>
        </w:rPr>
        <w:t>лива документација за улогите на страните, потеклото и верзијата на моделот, наменетата употреба, ограничувањата и договорното распределување на одговорностите; договорната распределба не ги заменува законските обврски на применливиот оператор.</w:t>
      </w:r>
    </w:p>
    <w:p w14:paraId="4702DB10" w14:textId="77777777" w:rsidR="00FE200F" w:rsidRDefault="00FE200F">
      <w:pPr>
        <w:jc w:val="both"/>
        <w:rPr>
          <w:rFonts w:ascii="Times New Roman" w:hAnsi="Times New Roman" w:cs="Times New Roman"/>
          <w:b/>
          <w:color w:val="auto"/>
          <w:lang w:val="mk-MK"/>
        </w:rPr>
      </w:pPr>
    </w:p>
    <w:p w14:paraId="539ACD74"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Контролира</w:t>
      </w:r>
      <w:r>
        <w:rPr>
          <w:rFonts w:ascii="Times New Roman" w:hAnsi="Times New Roman" w:cs="Times New Roman"/>
          <w:b/>
          <w:color w:val="auto"/>
          <w:lang w:val="mk-MK"/>
        </w:rPr>
        <w:t>на регулаторна средина за тестирање (</w:t>
      </w:r>
      <w:r>
        <w:rPr>
          <w:rFonts w:ascii="Times New Roman" w:hAnsi="Times New Roman" w:cs="Times New Roman"/>
          <w:b/>
          <w:i/>
          <w:iCs/>
          <w:color w:val="auto"/>
          <w:lang w:val="mk-MK"/>
        </w:rPr>
        <w:t>Regulatory Sandboxes</w:t>
      </w:r>
      <w:r>
        <w:rPr>
          <w:rFonts w:ascii="Times New Roman" w:hAnsi="Times New Roman" w:cs="Times New Roman"/>
          <w:b/>
          <w:color w:val="auto"/>
          <w:lang w:val="mk-MK"/>
        </w:rPr>
        <w:t>)</w:t>
      </w:r>
    </w:p>
    <w:p w14:paraId="74C8B068"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Контролирана регулаторна средина за тестирање: Според член 57 од консолидираниот ЕУ Акт за ВИ, државите членки обезбедуваат нивните надлежни органи да воспостават најмалку една национална контролир</w:t>
      </w:r>
      <w:r>
        <w:rPr>
          <w:rFonts w:ascii="Times New Roman" w:hAnsi="Times New Roman" w:cs="Times New Roman"/>
          <w:color w:val="auto"/>
          <w:lang w:val="mk-MK"/>
        </w:rPr>
        <w:t>ана регулаторна средина за тестирање, оперативна најдоцна до 2 август 2027 година; таа може да биде воспоставена и заеднички со надлежни органи на други држави членки. Оваа обврска се однесува на државите членки и не создава автоматска обврска за Република</w:t>
      </w:r>
      <w:r>
        <w:rPr>
          <w:rFonts w:ascii="Times New Roman" w:hAnsi="Times New Roman" w:cs="Times New Roman"/>
          <w:color w:val="auto"/>
          <w:lang w:val="mk-MK"/>
        </w:rPr>
        <w:t xml:space="preserve"> Северна Македонија. Развојот на домашна контролирана средина се разгледува како подготвителна политика, со претходна проверка на правниот основ, институционалните улоги, заштитата на личните податоци и основните права, капацитетите и изворите на финансира</w:t>
      </w:r>
      <w:r>
        <w:rPr>
          <w:rFonts w:ascii="Times New Roman" w:hAnsi="Times New Roman" w:cs="Times New Roman"/>
          <w:color w:val="auto"/>
          <w:lang w:val="mk-MK"/>
        </w:rPr>
        <w:t>ње. Учество во таква средина не претставува само по себе доказ за сообразност и не создава општ имунитет од одговорност или санкции.</w:t>
      </w:r>
    </w:p>
    <w:p w14:paraId="52247ABE"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Импликации за Република Северна Македонија и регионален контекст:</w:t>
      </w:r>
    </w:p>
    <w:p w14:paraId="5C85B9B1" w14:textId="77777777" w:rsidR="00FE200F" w:rsidRPr="009C2D42" w:rsidRDefault="00E77CAF">
      <w:pPr>
        <w:pStyle w:val="ListBullet"/>
        <w:jc w:val="both"/>
        <w:rPr>
          <w:rFonts w:ascii="Times New Roman" w:hAnsi="Times New Roman" w:cs="Times New Roman"/>
          <w:lang w:val="mk-MK"/>
        </w:rPr>
      </w:pPr>
      <w:r w:rsidRPr="009C2D42">
        <w:rPr>
          <w:rFonts w:ascii="Times New Roman" w:hAnsi="Times New Roman" w:cs="Times New Roman"/>
          <w:color w:val="auto"/>
          <w:lang w:val="mk-MK"/>
        </w:rPr>
        <w:t xml:space="preserve">Екстратериторијалност: Согласно член 2, Актот може да се </w:t>
      </w:r>
      <w:r w:rsidRPr="009C2D42">
        <w:rPr>
          <w:rFonts w:ascii="Times New Roman" w:hAnsi="Times New Roman" w:cs="Times New Roman"/>
          <w:color w:val="auto"/>
          <w:lang w:val="mk-MK"/>
        </w:rPr>
        <w:t>примени на даватели што пласираат ВИ системи или модели за ВИ со општа намена на пазарот на ЕУ, на распоредувачи со деловно седиште или место во ЕУ и на даватели или распоредувачи од трета земја кога резултатот произведен од системот се користи во ЕУ. Само</w:t>
      </w:r>
      <w:r w:rsidRPr="009C2D42">
        <w:rPr>
          <w:rFonts w:ascii="Times New Roman" w:hAnsi="Times New Roman" w:cs="Times New Roman"/>
          <w:color w:val="auto"/>
          <w:lang w:val="mk-MK"/>
        </w:rPr>
        <w:t>то влијание врз лица во ЕУ или самата извозна ориентација не е доволна замена за овој тест; применливоста се оценува според конкретните факти.</w:t>
      </w:r>
    </w:p>
    <w:p w14:paraId="1131A002" w14:textId="77777777" w:rsidR="00FE200F" w:rsidRPr="009C2D42" w:rsidRDefault="00E77CAF">
      <w:pPr>
        <w:pStyle w:val="ListBullet"/>
        <w:jc w:val="both"/>
        <w:rPr>
          <w:rFonts w:ascii="Times New Roman" w:hAnsi="Times New Roman" w:cs="Times New Roman"/>
          <w:lang w:val="mk-MK"/>
        </w:rPr>
      </w:pPr>
      <w:r w:rsidRPr="009C2D42">
        <w:rPr>
          <w:rFonts w:ascii="Times New Roman" w:hAnsi="Times New Roman" w:cs="Times New Roman"/>
          <w:color w:val="auto"/>
          <w:lang w:val="mk-MK"/>
        </w:rPr>
        <w:t>Апроксимација и правна рамка: Како земја кандидат, Република Северна Македонија подготвува национална рамка за ап</w:t>
      </w:r>
      <w:r w:rsidRPr="009C2D42">
        <w:rPr>
          <w:rFonts w:ascii="Times New Roman" w:hAnsi="Times New Roman" w:cs="Times New Roman"/>
          <w:color w:val="auto"/>
          <w:lang w:val="mk-MK"/>
        </w:rPr>
        <w:t>роксимација со правното наследство на ЕУ, без однапред да се претпостави дека е задолжително донесување на посебен закон или воспоставување нов орган. Формата на прописите и распределбата на надлежностите се утврдуваат по официјална правна и институционалн</w:t>
      </w:r>
      <w:r w:rsidRPr="009C2D42">
        <w:rPr>
          <w:rFonts w:ascii="Times New Roman" w:hAnsi="Times New Roman" w:cs="Times New Roman"/>
          <w:color w:val="auto"/>
          <w:lang w:val="mk-MK"/>
        </w:rPr>
        <w:t>а валидација. Секое дополнително национално барање се разгледува само ако е законски оправдано, пропорционално, усогласено со правното наследство на ЕУ и не создава непотребен товар, особено за малите и средните претпријатија.</w:t>
      </w:r>
    </w:p>
    <w:p w14:paraId="37D42500" w14:textId="77777777" w:rsidR="00FE200F" w:rsidRPr="009C2D42" w:rsidRDefault="00E77CAF">
      <w:pPr>
        <w:pStyle w:val="ListBullet"/>
        <w:jc w:val="both"/>
        <w:rPr>
          <w:rFonts w:ascii="Times New Roman" w:hAnsi="Times New Roman" w:cs="Times New Roman"/>
          <w:lang w:val="mk-MK"/>
        </w:rPr>
      </w:pPr>
      <w:r w:rsidRPr="009C2D42">
        <w:rPr>
          <w:rFonts w:ascii="Times New Roman" w:hAnsi="Times New Roman" w:cs="Times New Roman"/>
          <w:color w:val="auto"/>
          <w:lang w:val="mk-MK"/>
        </w:rPr>
        <w:t xml:space="preserve">Институционална архитектура: </w:t>
      </w:r>
      <w:r w:rsidRPr="009C2D42">
        <w:rPr>
          <w:rFonts w:ascii="Times New Roman" w:hAnsi="Times New Roman" w:cs="Times New Roman"/>
          <w:color w:val="auto"/>
          <w:lang w:val="mk-MK"/>
        </w:rPr>
        <w:t>Националните надлежни органи, надзорот и евентуалните тела за оцена на сообразност се утврдуваат со националната правна рамка и со потврдена распределба на мандати. Во подготовката на рамката се разликуваат стратешката координација, регулаторната политика,</w:t>
      </w:r>
      <w:r w:rsidRPr="009C2D42">
        <w:rPr>
          <w:rFonts w:ascii="Times New Roman" w:hAnsi="Times New Roman" w:cs="Times New Roman"/>
          <w:color w:val="auto"/>
          <w:lang w:val="mk-MK"/>
        </w:rPr>
        <w:t xml:space="preserve"> независниот надзор, секторското спроведување и техничката стандардизација.</w:t>
      </w:r>
    </w:p>
    <w:p w14:paraId="609C3449" w14:textId="77777777" w:rsidR="00FE200F" w:rsidRPr="009C2D42" w:rsidRDefault="00E77CAF">
      <w:pPr>
        <w:pStyle w:val="ListBullet"/>
        <w:jc w:val="both"/>
        <w:rPr>
          <w:rFonts w:ascii="Times New Roman" w:hAnsi="Times New Roman" w:cs="Times New Roman"/>
          <w:lang w:val="mk-MK"/>
        </w:rPr>
      </w:pPr>
      <w:r w:rsidRPr="009C2D42">
        <w:rPr>
          <w:rFonts w:ascii="Times New Roman" w:hAnsi="Times New Roman" w:cs="Times New Roman"/>
          <w:color w:val="auto"/>
          <w:lang w:val="mk-MK"/>
        </w:rPr>
        <w:t>Можност за регулаторна средина за тестирање: Воспоставувањето на национална контролирана средина за тестирање на ВИ може да ја поддржи домашната иновација и подготовката за барањат</w:t>
      </w:r>
      <w:r w:rsidRPr="009C2D42">
        <w:rPr>
          <w:rFonts w:ascii="Times New Roman" w:hAnsi="Times New Roman" w:cs="Times New Roman"/>
          <w:color w:val="auto"/>
          <w:lang w:val="mk-MK"/>
        </w:rPr>
        <w:t xml:space="preserve">а на пазарот на ЕУ, но се спроведува само согласно Акцискиот план и по исполнување на правните и институционалните предуслови. Таа не го заменува исполнувањето на применливите законски услови, заштитата на основните права и личните податоци, ниту надзорот </w:t>
      </w:r>
      <w:r w:rsidRPr="009C2D42">
        <w:rPr>
          <w:rFonts w:ascii="Times New Roman" w:hAnsi="Times New Roman" w:cs="Times New Roman"/>
          <w:color w:val="auto"/>
          <w:lang w:val="mk-MK"/>
        </w:rPr>
        <w:t>на надлежните органи.</w:t>
      </w:r>
    </w:p>
    <w:p w14:paraId="638EB2B4" w14:textId="77777777" w:rsidR="00FE200F" w:rsidRDefault="00E77CAF">
      <w:pPr>
        <w:pStyle w:val="Heading2"/>
        <w:jc w:val="both"/>
        <w:rPr>
          <w:rFonts w:ascii="Times New Roman" w:hAnsi="Times New Roman" w:cs="Times New Roman"/>
          <w:lang w:val="mk-MK"/>
        </w:rPr>
      </w:pPr>
      <w:bookmarkStart w:id="33" w:name="_Toc240630042"/>
      <w:bookmarkStart w:id="34" w:name="_Toc243907985"/>
      <w:r>
        <w:rPr>
          <w:rFonts w:ascii="Times New Roman" w:hAnsi="Times New Roman" w:cs="Times New Roman"/>
          <w:color w:val="auto"/>
          <w:sz w:val="24"/>
          <w:szCs w:val="24"/>
          <w:lang w:val="mk-MK"/>
        </w:rPr>
        <w:lastRenderedPageBreak/>
        <w:t>3.2 Рамковна конвенција на Советот на Европа за вештачка интелигенција (</w:t>
      </w:r>
      <w:r>
        <w:rPr>
          <w:rFonts w:ascii="Times New Roman" w:hAnsi="Times New Roman" w:cs="Times New Roman"/>
          <w:i/>
          <w:iCs/>
          <w:color w:val="auto"/>
          <w:sz w:val="24"/>
          <w:szCs w:val="24"/>
          <w:lang w:val="mk-MK"/>
        </w:rPr>
        <w:t>CETS No</w:t>
      </w:r>
      <w:r>
        <w:rPr>
          <w:rFonts w:ascii="Times New Roman" w:hAnsi="Times New Roman" w:cs="Times New Roman"/>
          <w:color w:val="auto"/>
          <w:sz w:val="24"/>
          <w:szCs w:val="24"/>
          <w:lang w:val="mk-MK"/>
        </w:rPr>
        <w:t>. 225)</w:t>
      </w:r>
      <w:bookmarkEnd w:id="33"/>
      <w:bookmarkEnd w:id="34"/>
    </w:p>
    <w:p w14:paraId="746A8997" w14:textId="77777777" w:rsidR="00FE200F" w:rsidRDefault="00E77CAF">
      <w:pPr>
        <w:jc w:val="both"/>
        <w:rPr>
          <w:rFonts w:ascii="Times New Roman" w:hAnsi="Times New Roman" w:cs="Times New Roman"/>
          <w:lang w:val="mk-MK"/>
        </w:rPr>
      </w:pPr>
      <w:r>
        <w:rPr>
          <w:rFonts w:ascii="Times New Roman" w:hAnsi="Times New Roman" w:cs="Times New Roman"/>
          <w:bCs/>
          <w:color w:val="auto"/>
          <w:lang w:val="mk-MK"/>
        </w:rPr>
        <w:t>Рамковната конвенција на Советот на Европа за вештачка интелигенција, човекови права, демократија и владеење на правото (</w:t>
      </w:r>
      <w:r>
        <w:rPr>
          <w:rFonts w:ascii="Times New Roman" w:hAnsi="Times New Roman" w:cs="Times New Roman"/>
          <w:bCs/>
          <w:i/>
          <w:iCs/>
          <w:color w:val="auto"/>
          <w:lang w:val="mk-MK"/>
        </w:rPr>
        <w:t>CETS No</w:t>
      </w:r>
      <w:r>
        <w:rPr>
          <w:rFonts w:ascii="Times New Roman" w:hAnsi="Times New Roman" w:cs="Times New Roman"/>
          <w:bCs/>
          <w:color w:val="auto"/>
          <w:lang w:val="mk-MK"/>
        </w:rPr>
        <w:t xml:space="preserve">. 225), усвоена на </w:t>
      </w:r>
      <w:r>
        <w:rPr>
          <w:rFonts w:ascii="Times New Roman" w:hAnsi="Times New Roman" w:cs="Times New Roman"/>
          <w:bCs/>
          <w:color w:val="auto"/>
          <w:lang w:val="mk-MK"/>
        </w:rPr>
        <w:t>17 мај 2024 година, претставува првиот правно обврзувачки меѓународен договор во областа на вештачката интелигенција. Конвенцијата е отворена за потпишување на 5 септември 2024 година и има за цел да обезбеди дека активностите во животниот циклус на ВИ сис</w:t>
      </w:r>
      <w:r>
        <w:rPr>
          <w:rFonts w:ascii="Times New Roman" w:hAnsi="Times New Roman" w:cs="Times New Roman"/>
          <w:bCs/>
          <w:color w:val="auto"/>
          <w:lang w:val="mk-MK"/>
        </w:rPr>
        <w:t>темите се целосно усогласени со човековите права, демократијата и владеењето на правото, додека истовремено го поттикнуваат технолошкиот напредок и иновациите.</w:t>
      </w:r>
    </w:p>
    <w:p w14:paraId="362D5CC5" w14:textId="77777777" w:rsidR="00FE200F" w:rsidRDefault="00E77CAF">
      <w:pPr>
        <w:jc w:val="both"/>
        <w:rPr>
          <w:rFonts w:ascii="Times New Roman" w:hAnsi="Times New Roman" w:cs="Times New Roman"/>
          <w:lang w:val="mk-MK"/>
        </w:rPr>
      </w:pPr>
      <w:r>
        <w:rPr>
          <w:rFonts w:ascii="Times New Roman" w:hAnsi="Times New Roman" w:cs="Times New Roman"/>
          <w:bCs/>
          <w:color w:val="auto"/>
          <w:lang w:val="mk-MK"/>
        </w:rPr>
        <w:t>За разлика од ЕУ Актот за ВИ кој е фокусиран на внатрешниот пазар и безбедноста на производите п</w:t>
      </w:r>
      <w:r>
        <w:rPr>
          <w:rFonts w:ascii="Times New Roman" w:hAnsi="Times New Roman" w:cs="Times New Roman"/>
          <w:bCs/>
          <w:color w:val="auto"/>
          <w:lang w:val="mk-MK"/>
        </w:rPr>
        <w:t xml:space="preserve">реку пристап базиран на ризик, Конвенцијата на Советот на Европа е фокусирана на заштитата на фундаменталните човекови права. Таа е технолошки неутрална, што значи дека не регулира специфични технологии, туку поставува принципи кои треба да се применуваат </w:t>
      </w:r>
      <w:r>
        <w:rPr>
          <w:rFonts w:ascii="Times New Roman" w:hAnsi="Times New Roman" w:cs="Times New Roman"/>
          <w:bCs/>
          <w:color w:val="auto"/>
          <w:lang w:val="mk-MK"/>
        </w:rPr>
        <w:t>независно од технолошкиот развој.</w:t>
      </w:r>
    </w:p>
    <w:p w14:paraId="054CAF3C" w14:textId="77777777" w:rsidR="00FE200F" w:rsidRDefault="00E77CAF">
      <w:pPr>
        <w:jc w:val="both"/>
        <w:rPr>
          <w:rFonts w:ascii="Times New Roman" w:hAnsi="Times New Roman" w:cs="Times New Roman"/>
          <w:lang w:val="mk-MK"/>
        </w:rPr>
      </w:pPr>
      <w:r>
        <w:rPr>
          <w:rFonts w:ascii="Times New Roman" w:hAnsi="Times New Roman" w:cs="Times New Roman"/>
          <w:bCs/>
          <w:color w:val="auto"/>
          <w:lang w:val="mk-MK"/>
        </w:rPr>
        <w:t>Фундаментални принципи на Конвенцијата:</w:t>
      </w:r>
    </w:p>
    <w:p w14:paraId="69EB5714" w14:textId="77777777" w:rsidR="00FE200F" w:rsidRDefault="00E77CAF">
      <w:pPr>
        <w:pStyle w:val="ListNumber"/>
        <w:numPr>
          <w:ilvl w:val="0"/>
          <w:numId w:val="29"/>
        </w:numPr>
        <w:jc w:val="both"/>
        <w:rPr>
          <w:rFonts w:ascii="Times New Roman" w:hAnsi="Times New Roman" w:cs="Times New Roman"/>
          <w:lang w:val="mk-MK"/>
        </w:rPr>
      </w:pPr>
      <w:r>
        <w:rPr>
          <w:rFonts w:ascii="Times New Roman" w:hAnsi="Times New Roman" w:cs="Times New Roman"/>
          <w:b/>
          <w:bCs/>
          <w:color w:val="auto"/>
          <w:lang w:val="mk-MK"/>
        </w:rPr>
        <w:t>Човечко достоинство и индивидуална автономија:</w:t>
      </w:r>
      <w:r>
        <w:rPr>
          <w:rFonts w:ascii="Times New Roman" w:hAnsi="Times New Roman" w:cs="Times New Roman"/>
          <w:color w:val="auto"/>
          <w:lang w:val="mk-MK"/>
        </w:rPr>
        <w:t xml:space="preserve"> ВИ системите мора да го почитуваат човечкото достоинство и да не ја нарушуваат автономијата на поединците.</w:t>
      </w:r>
    </w:p>
    <w:p w14:paraId="047882A5" w14:textId="77777777" w:rsidR="00FE200F" w:rsidRDefault="00E77CAF">
      <w:pPr>
        <w:pStyle w:val="ListNumber"/>
        <w:numPr>
          <w:ilvl w:val="0"/>
          <w:numId w:val="30"/>
        </w:numPr>
        <w:jc w:val="both"/>
        <w:rPr>
          <w:rFonts w:ascii="Times New Roman" w:hAnsi="Times New Roman" w:cs="Times New Roman"/>
          <w:lang w:val="mk-MK"/>
        </w:rPr>
      </w:pPr>
      <w:r>
        <w:rPr>
          <w:rFonts w:ascii="Times New Roman" w:hAnsi="Times New Roman" w:cs="Times New Roman"/>
          <w:b/>
          <w:color w:val="auto"/>
          <w:lang w:val="mk-MK"/>
        </w:rPr>
        <w:t>Еднаквост и недискриминација</w:t>
      </w:r>
      <w:r>
        <w:rPr>
          <w:rFonts w:ascii="Times New Roman" w:hAnsi="Times New Roman" w:cs="Times New Roman"/>
          <w:bCs/>
          <w:color w:val="auto"/>
          <w:lang w:val="mk-MK"/>
        </w:rPr>
        <w:t>: Забрана за користење на ВИ системи кои резултираат со дискриминација или ја продлабочуваат постоечката нееднаквост.</w:t>
      </w:r>
    </w:p>
    <w:p w14:paraId="1E38A865" w14:textId="77777777" w:rsidR="00FE200F" w:rsidRDefault="00E77CAF">
      <w:pPr>
        <w:pStyle w:val="ListNumber"/>
        <w:numPr>
          <w:ilvl w:val="0"/>
          <w:numId w:val="31"/>
        </w:numPr>
        <w:jc w:val="both"/>
        <w:rPr>
          <w:rFonts w:ascii="Times New Roman" w:hAnsi="Times New Roman" w:cs="Times New Roman"/>
          <w:lang w:val="mk-MK"/>
        </w:rPr>
      </w:pPr>
      <w:r>
        <w:rPr>
          <w:rFonts w:ascii="Times New Roman" w:hAnsi="Times New Roman" w:cs="Times New Roman"/>
          <w:b/>
          <w:color w:val="auto"/>
          <w:lang w:val="mk-MK"/>
        </w:rPr>
        <w:t xml:space="preserve">Почитување на приватноста и заштита на личните податоци: </w:t>
      </w:r>
      <w:r>
        <w:rPr>
          <w:rFonts w:ascii="Times New Roman" w:hAnsi="Times New Roman" w:cs="Times New Roman"/>
          <w:bCs/>
          <w:color w:val="auto"/>
          <w:lang w:val="mk-MK"/>
        </w:rPr>
        <w:t>Строго почитување на правото на приватност при собирањето и обработката на подато</w:t>
      </w:r>
      <w:r>
        <w:rPr>
          <w:rFonts w:ascii="Times New Roman" w:hAnsi="Times New Roman" w:cs="Times New Roman"/>
          <w:bCs/>
          <w:color w:val="auto"/>
          <w:lang w:val="mk-MK"/>
        </w:rPr>
        <w:t>ци од страна на ВИ системите.</w:t>
      </w:r>
    </w:p>
    <w:p w14:paraId="7EA0E3DC" w14:textId="77777777" w:rsidR="00FE200F" w:rsidRDefault="00E77CAF">
      <w:pPr>
        <w:pStyle w:val="ListNumber"/>
        <w:numPr>
          <w:ilvl w:val="0"/>
          <w:numId w:val="32"/>
        </w:numPr>
        <w:jc w:val="both"/>
        <w:rPr>
          <w:rFonts w:ascii="Times New Roman" w:hAnsi="Times New Roman" w:cs="Times New Roman"/>
          <w:lang w:val="mk-MK"/>
        </w:rPr>
      </w:pPr>
      <w:r>
        <w:rPr>
          <w:rFonts w:ascii="Times New Roman" w:hAnsi="Times New Roman" w:cs="Times New Roman"/>
          <w:b/>
          <w:color w:val="auto"/>
          <w:lang w:val="mk-MK"/>
        </w:rPr>
        <w:t>Транспарентност и надзор:</w:t>
      </w:r>
      <w:r>
        <w:rPr>
          <w:rFonts w:ascii="Times New Roman" w:hAnsi="Times New Roman" w:cs="Times New Roman"/>
          <w:bCs/>
          <w:color w:val="auto"/>
          <w:lang w:val="mk-MK"/>
        </w:rPr>
        <w:t xml:space="preserve"> Обезбедување транспарентност во функционирањето на ВИ системите и воспоставување механизми за човечки надзор.</w:t>
      </w:r>
    </w:p>
    <w:p w14:paraId="7D525F76" w14:textId="77777777" w:rsidR="00FE200F" w:rsidRDefault="00E77CAF">
      <w:pPr>
        <w:pStyle w:val="ListNumber"/>
        <w:numPr>
          <w:ilvl w:val="0"/>
          <w:numId w:val="33"/>
        </w:numPr>
        <w:jc w:val="both"/>
        <w:rPr>
          <w:rFonts w:ascii="Times New Roman" w:hAnsi="Times New Roman" w:cs="Times New Roman"/>
          <w:lang w:val="mk-MK"/>
        </w:rPr>
      </w:pPr>
      <w:r>
        <w:rPr>
          <w:rFonts w:ascii="Times New Roman" w:hAnsi="Times New Roman" w:cs="Times New Roman"/>
          <w:b/>
          <w:color w:val="auto"/>
          <w:lang w:val="mk-MK"/>
        </w:rPr>
        <w:t>Отчетност и одговорност:</w:t>
      </w:r>
      <w:r>
        <w:rPr>
          <w:rFonts w:ascii="Times New Roman" w:hAnsi="Times New Roman" w:cs="Times New Roman"/>
          <w:bCs/>
          <w:color w:val="auto"/>
          <w:lang w:val="mk-MK"/>
        </w:rPr>
        <w:t xml:space="preserve"> Јасно дефинирање на одговорноста за одлуките донесени или поддржа</w:t>
      </w:r>
      <w:r>
        <w:rPr>
          <w:rFonts w:ascii="Times New Roman" w:hAnsi="Times New Roman" w:cs="Times New Roman"/>
          <w:bCs/>
          <w:color w:val="auto"/>
          <w:lang w:val="mk-MK"/>
        </w:rPr>
        <w:t>ни од ВИ системи.</w:t>
      </w:r>
    </w:p>
    <w:p w14:paraId="5C252B53" w14:textId="77777777" w:rsidR="00FE200F" w:rsidRDefault="00E77CAF">
      <w:pPr>
        <w:pStyle w:val="ListNumber"/>
        <w:numPr>
          <w:ilvl w:val="0"/>
          <w:numId w:val="34"/>
        </w:numPr>
        <w:jc w:val="both"/>
        <w:rPr>
          <w:rFonts w:ascii="Times New Roman" w:hAnsi="Times New Roman" w:cs="Times New Roman"/>
          <w:lang w:val="mk-MK"/>
        </w:rPr>
      </w:pPr>
      <w:r>
        <w:rPr>
          <w:rFonts w:ascii="Times New Roman" w:hAnsi="Times New Roman" w:cs="Times New Roman"/>
          <w:b/>
          <w:color w:val="auto"/>
          <w:lang w:val="mk-MK"/>
        </w:rPr>
        <w:t>Безбедност и сигурност:</w:t>
      </w:r>
      <w:r>
        <w:rPr>
          <w:rFonts w:ascii="Times New Roman" w:hAnsi="Times New Roman" w:cs="Times New Roman"/>
          <w:bCs/>
          <w:color w:val="auto"/>
          <w:lang w:val="mk-MK"/>
        </w:rPr>
        <w:t xml:space="preserve"> ВИ системите мора да бидат безбедни, сигурни и отпорни на манипулации во текот на целиот нивен животен циклус.</w:t>
      </w:r>
    </w:p>
    <w:p w14:paraId="18FBF9EE" w14:textId="77777777" w:rsidR="00FE200F" w:rsidRDefault="00FE200F">
      <w:pPr>
        <w:jc w:val="both"/>
        <w:rPr>
          <w:rFonts w:ascii="Times New Roman" w:hAnsi="Times New Roman" w:cs="Times New Roman"/>
          <w:b/>
          <w:color w:val="auto"/>
          <w:lang w:val="mk-MK"/>
        </w:rPr>
      </w:pPr>
    </w:p>
    <w:p w14:paraId="15AFCCB8"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Опфат и имплементација:</w:t>
      </w:r>
    </w:p>
    <w:p w14:paraId="144D7D99" w14:textId="77777777" w:rsidR="00FE200F" w:rsidRDefault="00E77CAF">
      <w:pPr>
        <w:jc w:val="both"/>
        <w:rPr>
          <w:rFonts w:ascii="Times New Roman" w:hAnsi="Times New Roman" w:cs="Times New Roman"/>
          <w:lang w:val="mk-MK"/>
        </w:rPr>
      </w:pPr>
      <w:r>
        <w:rPr>
          <w:rFonts w:ascii="Times New Roman" w:hAnsi="Times New Roman" w:cs="Times New Roman"/>
          <w:bCs/>
          <w:color w:val="auto"/>
          <w:lang w:val="mk-MK"/>
        </w:rPr>
        <w:t>Конвенцијата ги покрива активностите на јавните органи (вклучувајќи приватни а</w:t>
      </w:r>
      <w:r>
        <w:rPr>
          <w:rFonts w:ascii="Times New Roman" w:hAnsi="Times New Roman" w:cs="Times New Roman"/>
          <w:bCs/>
          <w:color w:val="auto"/>
          <w:lang w:val="mk-MK"/>
        </w:rPr>
        <w:t>ктери кои дејствуваат во нивно име) и приватните актери. За приватниот сектор, државите имаат флексибилност да изберат дали директно ќе ги применат одредбите на Конвенцијата или ќе преземат други мерки за усогласување. Имплементацијата ќе биде надгледувана</w:t>
      </w:r>
      <w:r>
        <w:rPr>
          <w:rFonts w:ascii="Times New Roman" w:hAnsi="Times New Roman" w:cs="Times New Roman"/>
          <w:bCs/>
          <w:color w:val="auto"/>
          <w:lang w:val="mk-MK"/>
        </w:rPr>
        <w:t xml:space="preserve"> од Конференција на страните, која ќе го оценува степенот на усогласеност и ќе дава препораки.</w:t>
      </w:r>
    </w:p>
    <w:p w14:paraId="7BD80662" w14:textId="77777777" w:rsidR="00FE200F" w:rsidRDefault="00FE200F">
      <w:pPr>
        <w:jc w:val="both"/>
        <w:rPr>
          <w:rFonts w:ascii="Times New Roman" w:hAnsi="Times New Roman" w:cs="Times New Roman"/>
          <w:b/>
          <w:color w:val="auto"/>
          <w:lang w:val="mk-MK"/>
        </w:rPr>
      </w:pPr>
    </w:p>
    <w:p w14:paraId="2979D976"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Регионален контекст и импликации за РСМ:</w:t>
      </w:r>
    </w:p>
    <w:p w14:paraId="42984115" w14:textId="77777777" w:rsidR="00FE200F" w:rsidRDefault="00E77CAF">
      <w:pPr>
        <w:jc w:val="both"/>
        <w:rPr>
          <w:rFonts w:ascii="Times New Roman" w:hAnsi="Times New Roman" w:cs="Times New Roman"/>
          <w:lang w:val="mk-MK"/>
        </w:rPr>
      </w:pPr>
      <w:r>
        <w:rPr>
          <w:rFonts w:ascii="Times New Roman" w:hAnsi="Times New Roman" w:cs="Times New Roman"/>
          <w:bCs/>
          <w:color w:val="auto"/>
          <w:lang w:val="mk-MK"/>
        </w:rPr>
        <w:t>Покрај Босна и Херцеговина и Црна Гора, Република Северна Македонија ја потпиша Конвенцијата на 8 мај 2026 година. На д</w:t>
      </w:r>
      <w:r>
        <w:rPr>
          <w:rFonts w:ascii="Times New Roman" w:hAnsi="Times New Roman" w:cs="Times New Roman"/>
          <w:bCs/>
          <w:color w:val="auto"/>
          <w:lang w:val="mk-MK"/>
        </w:rPr>
        <w:t>атумот на оваа Стратегија, државата е потписничка, а не е Страна на Конвенцијата. Следен приоритет е подготовка и спроведување на постапката за ратификација, како и подготовка на национален план за имплементација на обврските и принципите од Конвенцијата.</w:t>
      </w:r>
    </w:p>
    <w:p w14:paraId="6605ABD4" w14:textId="77777777" w:rsidR="00FE200F" w:rsidRDefault="00E77CAF">
      <w:pPr>
        <w:jc w:val="both"/>
        <w:rPr>
          <w:rFonts w:ascii="Times New Roman" w:hAnsi="Times New Roman" w:cs="Times New Roman"/>
          <w:lang w:val="mk-MK"/>
        </w:rPr>
      </w:pPr>
      <w:r>
        <w:rPr>
          <w:rFonts w:ascii="Times New Roman" w:hAnsi="Times New Roman" w:cs="Times New Roman"/>
          <w:bCs/>
          <w:color w:val="auto"/>
          <w:lang w:val="mk-MK"/>
        </w:rPr>
        <w:lastRenderedPageBreak/>
        <w:t>Индикативната динамика за 2027–2029 е: во 2027 година да се изработи правна и институционална анализа за ратификацијата и националната имплементација, вклучително и изборот на пристап за приватниот сектор согласно член 3 од Конвенцијата; во 2028 година, со</w:t>
      </w:r>
      <w:r>
        <w:rPr>
          <w:rFonts w:ascii="Times New Roman" w:hAnsi="Times New Roman" w:cs="Times New Roman"/>
          <w:bCs/>
          <w:color w:val="auto"/>
          <w:lang w:val="mk-MK"/>
        </w:rPr>
        <w:t>гласно надлежната уставна и законска постапка, да се подготви пакет за ратификација и меѓуинституционална патоказна карта; а во 2028–2029 година да се вградат релевантните принципи во постојните мерки за правна рамка, заштита на основните права, транспарен</w:t>
      </w:r>
      <w:r>
        <w:rPr>
          <w:rFonts w:ascii="Times New Roman" w:hAnsi="Times New Roman" w:cs="Times New Roman"/>
          <w:bCs/>
          <w:color w:val="auto"/>
          <w:lang w:val="mk-MK"/>
        </w:rPr>
        <w:t>тност, човечки надзор, механизми за пријавување и следење. Оваа динамика се спроведува преку постојните мерки од Приоритетната област 5 и не создава дополнителна мерка или активност.</w:t>
      </w:r>
    </w:p>
    <w:tbl>
      <w:tblPr>
        <w:tblStyle w:val="GridTable5Dark-Accent5"/>
        <w:tblW w:w="9199" w:type="dxa"/>
        <w:shd w:val="clear" w:color="auto" w:fill="DAEEF3"/>
        <w:tblLayout w:type="fixed"/>
        <w:tblLook w:val="04A0" w:firstRow="1" w:lastRow="0" w:firstColumn="1" w:lastColumn="0" w:noHBand="0" w:noVBand="1"/>
      </w:tblPr>
      <w:tblGrid>
        <w:gridCol w:w="2880"/>
        <w:gridCol w:w="3057"/>
        <w:gridCol w:w="3262"/>
      </w:tblGrid>
      <w:tr w:rsidR="00FE200F" w14:paraId="06A9E251" w14:textId="77777777" w:rsidTr="00FE20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29DBEC2" w14:textId="77777777" w:rsidR="00FE200F" w:rsidRDefault="00E77CAF">
            <w:pPr>
              <w:rPr>
                <w:rFonts w:ascii="Times New Roman" w:hAnsi="Times New Roman" w:cs="Times New Roman"/>
                <w:lang w:val="mk-MK"/>
              </w:rPr>
            </w:pPr>
            <w:r>
              <w:rPr>
                <w:rFonts w:ascii="Times New Roman" w:hAnsi="Times New Roman" w:cs="Times New Roman"/>
                <w:color w:val="auto"/>
                <w:lang w:val="mk-MK"/>
              </w:rPr>
              <w:t>Карактеристика</w:t>
            </w:r>
          </w:p>
        </w:tc>
        <w:tc>
          <w:tcPr>
            <w:tcW w:w="3057" w:type="dxa"/>
            <w:tcBorders>
              <w:bottom w:val="nil"/>
            </w:tcBorders>
          </w:tcPr>
          <w:p w14:paraId="78ABCAAD" w14:textId="77777777" w:rsidR="00FE200F" w:rsidRDefault="00E77CA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ЕУ Акт за ВИ (</w:t>
            </w:r>
            <w:r>
              <w:rPr>
                <w:rFonts w:ascii="Times New Roman" w:hAnsi="Times New Roman" w:cs="Times New Roman"/>
                <w:i/>
                <w:iCs/>
                <w:color w:val="auto"/>
                <w:lang w:val="mk-MK"/>
              </w:rPr>
              <w:t>EU AI Act</w:t>
            </w:r>
            <w:r>
              <w:rPr>
                <w:rFonts w:ascii="Times New Roman" w:hAnsi="Times New Roman" w:cs="Times New Roman"/>
                <w:color w:val="auto"/>
                <w:lang w:val="mk-MK"/>
              </w:rPr>
              <w:t>)</w:t>
            </w:r>
          </w:p>
        </w:tc>
        <w:tc>
          <w:tcPr>
            <w:tcW w:w="3262" w:type="dxa"/>
            <w:tcBorders>
              <w:bottom w:val="nil"/>
            </w:tcBorders>
          </w:tcPr>
          <w:p w14:paraId="718B4383" w14:textId="77777777" w:rsidR="00FE200F" w:rsidRDefault="00E77CA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Конвенција на Советот на Европа (</w:t>
            </w:r>
            <w:r>
              <w:rPr>
                <w:rFonts w:ascii="Times New Roman" w:hAnsi="Times New Roman" w:cs="Times New Roman"/>
                <w:i/>
                <w:iCs/>
                <w:color w:val="auto"/>
                <w:lang w:val="mk-MK"/>
              </w:rPr>
              <w:t>CETS 225</w:t>
            </w:r>
            <w:r>
              <w:rPr>
                <w:rFonts w:ascii="Times New Roman" w:hAnsi="Times New Roman" w:cs="Times New Roman"/>
                <w:color w:val="auto"/>
                <w:lang w:val="mk-MK"/>
              </w:rPr>
              <w:t>)</w:t>
            </w:r>
          </w:p>
        </w:tc>
      </w:tr>
      <w:tr w:rsidR="00FE200F" w14:paraId="39E206EF"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Borders>
              <w:right w:val="nil"/>
            </w:tcBorders>
          </w:tcPr>
          <w:p w14:paraId="3E5BFC4B" w14:textId="77777777" w:rsidR="00FE200F" w:rsidRDefault="00E77CAF">
            <w:pPr>
              <w:rPr>
                <w:rFonts w:ascii="Times New Roman" w:hAnsi="Times New Roman" w:cs="Times New Roman"/>
                <w:lang w:val="mk-MK"/>
              </w:rPr>
            </w:pPr>
            <w:r>
              <w:rPr>
                <w:rFonts w:ascii="Times New Roman" w:hAnsi="Times New Roman" w:cs="Times New Roman"/>
                <w:color w:val="auto"/>
                <w:lang w:val="mk-MK"/>
              </w:rPr>
              <w:t>Главен фокус</w:t>
            </w:r>
          </w:p>
        </w:tc>
        <w:tc>
          <w:tcPr>
            <w:tcW w:w="3057" w:type="dxa"/>
          </w:tcPr>
          <w:p w14:paraId="69EA8BEE"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Внатрешен пазар, безбедност на производи, заштита на потрошувачи</w:t>
            </w:r>
          </w:p>
        </w:tc>
        <w:tc>
          <w:tcPr>
            <w:tcW w:w="3262" w:type="dxa"/>
          </w:tcPr>
          <w:p w14:paraId="66071CA0"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Човекови права, демократија, владеење на правото</w:t>
            </w:r>
          </w:p>
        </w:tc>
      </w:tr>
      <w:tr w:rsidR="00FE200F" w14:paraId="5AA0E5BE" w14:textId="77777777" w:rsidTr="00FE200F">
        <w:tc>
          <w:tcPr>
            <w:cnfStyle w:val="001000000000" w:firstRow="0" w:lastRow="0" w:firstColumn="1" w:lastColumn="0" w:oddVBand="0" w:evenVBand="0" w:oddHBand="0" w:evenHBand="0" w:firstRowFirstColumn="0" w:firstRowLastColumn="0" w:lastRowFirstColumn="0" w:lastRowLastColumn="0"/>
            <w:tcW w:w="2880" w:type="dxa"/>
            <w:tcBorders>
              <w:right w:val="nil"/>
            </w:tcBorders>
          </w:tcPr>
          <w:p w14:paraId="2F30CC60" w14:textId="77777777" w:rsidR="00FE200F" w:rsidRDefault="00E77CAF">
            <w:pPr>
              <w:rPr>
                <w:rFonts w:ascii="Times New Roman" w:hAnsi="Times New Roman" w:cs="Times New Roman"/>
                <w:lang w:val="mk-MK"/>
              </w:rPr>
            </w:pPr>
            <w:r>
              <w:rPr>
                <w:rFonts w:ascii="Times New Roman" w:hAnsi="Times New Roman" w:cs="Times New Roman"/>
                <w:color w:val="auto"/>
                <w:lang w:val="mk-MK"/>
              </w:rPr>
              <w:t>Пристап</w:t>
            </w:r>
          </w:p>
        </w:tc>
        <w:tc>
          <w:tcPr>
            <w:tcW w:w="3057" w:type="dxa"/>
          </w:tcPr>
          <w:p w14:paraId="7E1D58A3"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Базиран на ризик (4 нивоа на ризик)</w:t>
            </w:r>
          </w:p>
        </w:tc>
        <w:tc>
          <w:tcPr>
            <w:tcW w:w="3262" w:type="dxa"/>
          </w:tcPr>
          <w:p w14:paraId="46DE5648"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Базиран на принципи (технолошки неутрален)</w:t>
            </w:r>
          </w:p>
        </w:tc>
      </w:tr>
      <w:tr w:rsidR="00FE200F" w14:paraId="4B647955"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Borders>
              <w:right w:val="nil"/>
            </w:tcBorders>
          </w:tcPr>
          <w:p w14:paraId="699A7ED7" w14:textId="77777777" w:rsidR="00FE200F" w:rsidRDefault="00E77CAF">
            <w:pPr>
              <w:rPr>
                <w:rFonts w:ascii="Times New Roman" w:hAnsi="Times New Roman" w:cs="Times New Roman"/>
                <w:lang w:val="mk-MK"/>
              </w:rPr>
            </w:pPr>
            <w:r>
              <w:rPr>
                <w:rFonts w:ascii="Times New Roman" w:hAnsi="Times New Roman" w:cs="Times New Roman"/>
                <w:color w:val="auto"/>
                <w:lang w:val="mk-MK"/>
              </w:rPr>
              <w:t>Правна природа</w:t>
            </w:r>
          </w:p>
        </w:tc>
        <w:tc>
          <w:tcPr>
            <w:tcW w:w="3057" w:type="dxa"/>
          </w:tcPr>
          <w:p w14:paraId="6700EF9F"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 xml:space="preserve">Регулатива </w:t>
            </w:r>
            <w:r>
              <w:rPr>
                <w:rFonts w:ascii="Times New Roman" w:hAnsi="Times New Roman" w:cs="Times New Roman"/>
                <w:color w:val="auto"/>
                <w:lang w:val="mk-MK"/>
              </w:rPr>
              <w:t>(директно применлива во ЕУ)</w:t>
            </w:r>
          </w:p>
        </w:tc>
        <w:tc>
          <w:tcPr>
            <w:tcW w:w="3262" w:type="dxa"/>
          </w:tcPr>
          <w:p w14:paraId="29F587B8"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Меѓународен договор (бара ратификација)</w:t>
            </w:r>
          </w:p>
        </w:tc>
      </w:tr>
      <w:tr w:rsidR="00FE200F" w14:paraId="60B3EFAF" w14:textId="77777777" w:rsidTr="00FE200F">
        <w:tc>
          <w:tcPr>
            <w:cnfStyle w:val="001000000000" w:firstRow="0" w:lastRow="0" w:firstColumn="1" w:lastColumn="0" w:oddVBand="0" w:evenVBand="0" w:oddHBand="0" w:evenHBand="0" w:firstRowFirstColumn="0" w:firstRowLastColumn="0" w:lastRowFirstColumn="0" w:lastRowLastColumn="0"/>
            <w:tcW w:w="2880" w:type="dxa"/>
            <w:tcBorders>
              <w:right w:val="nil"/>
            </w:tcBorders>
          </w:tcPr>
          <w:p w14:paraId="688F8366" w14:textId="77777777" w:rsidR="00FE200F" w:rsidRDefault="00E77CAF">
            <w:pPr>
              <w:rPr>
                <w:rFonts w:ascii="Times New Roman" w:hAnsi="Times New Roman" w:cs="Times New Roman"/>
                <w:lang w:val="mk-MK"/>
              </w:rPr>
            </w:pPr>
            <w:r>
              <w:rPr>
                <w:rFonts w:ascii="Times New Roman" w:hAnsi="Times New Roman" w:cs="Times New Roman"/>
                <w:color w:val="auto"/>
                <w:lang w:val="mk-MK"/>
              </w:rPr>
              <w:t>Опфат</w:t>
            </w:r>
          </w:p>
        </w:tc>
        <w:tc>
          <w:tcPr>
            <w:tcW w:w="3057" w:type="dxa"/>
          </w:tcPr>
          <w:p w14:paraId="64B0D1DE"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Јавен и приватен сектор (со специфични исклучоци)</w:t>
            </w:r>
          </w:p>
        </w:tc>
        <w:tc>
          <w:tcPr>
            <w:tcW w:w="3262" w:type="dxa"/>
          </w:tcPr>
          <w:p w14:paraId="6E702E7A"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Јавен сектор (задолжително), приватен сектор (по потреба)</w:t>
            </w:r>
          </w:p>
        </w:tc>
      </w:tr>
      <w:tr w:rsidR="00FE200F" w14:paraId="0554C13E"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Borders>
              <w:right w:val="nil"/>
            </w:tcBorders>
          </w:tcPr>
          <w:p w14:paraId="71FF0608" w14:textId="77777777" w:rsidR="00FE200F" w:rsidRDefault="00E77CAF">
            <w:pPr>
              <w:rPr>
                <w:rFonts w:ascii="Times New Roman" w:hAnsi="Times New Roman" w:cs="Times New Roman"/>
                <w:lang w:val="mk-MK"/>
              </w:rPr>
            </w:pPr>
            <w:r>
              <w:rPr>
                <w:rFonts w:ascii="Times New Roman" w:hAnsi="Times New Roman" w:cs="Times New Roman"/>
                <w:color w:val="auto"/>
                <w:lang w:val="mk-MK"/>
              </w:rPr>
              <w:t>Релевантност за РСМ</w:t>
            </w:r>
          </w:p>
        </w:tc>
        <w:tc>
          <w:tcPr>
            <w:tcW w:w="3057" w:type="dxa"/>
          </w:tcPr>
          <w:p w14:paraId="5F974B9A"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Транспозиција преку национално законодавство</w:t>
            </w:r>
          </w:p>
        </w:tc>
        <w:tc>
          <w:tcPr>
            <w:tcW w:w="3262" w:type="dxa"/>
          </w:tcPr>
          <w:p w14:paraId="4A3C45F6"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Потписн</w:t>
            </w:r>
            <w:r>
              <w:rPr>
                <w:rFonts w:ascii="Times New Roman" w:hAnsi="Times New Roman" w:cs="Times New Roman"/>
                <w:color w:val="auto"/>
                <w:lang w:val="mk-MK"/>
              </w:rPr>
              <w:t>ичка од 8.5.2026; ратификација и национална имплементација</w:t>
            </w:r>
          </w:p>
        </w:tc>
      </w:tr>
    </w:tbl>
    <w:p w14:paraId="1F8616F5" w14:textId="77777777" w:rsidR="00FE200F" w:rsidRDefault="00FE200F">
      <w:pPr>
        <w:pStyle w:val="Heading2"/>
        <w:jc w:val="both"/>
        <w:rPr>
          <w:rFonts w:ascii="Times New Roman" w:hAnsi="Times New Roman" w:cs="Times New Roman"/>
          <w:color w:val="auto"/>
          <w:sz w:val="24"/>
          <w:szCs w:val="24"/>
          <w:lang w:val="mk-MK"/>
        </w:rPr>
      </w:pPr>
    </w:p>
    <w:p w14:paraId="762B67A7" w14:textId="77777777" w:rsidR="00FE200F" w:rsidRDefault="00E77CAF">
      <w:pPr>
        <w:pStyle w:val="Heading2"/>
        <w:jc w:val="both"/>
        <w:rPr>
          <w:rFonts w:ascii="Times New Roman" w:hAnsi="Times New Roman" w:cs="Times New Roman"/>
          <w:lang w:val="mk-MK"/>
        </w:rPr>
      </w:pPr>
      <w:bookmarkStart w:id="35" w:name="_Toc240630043"/>
      <w:bookmarkStart w:id="36" w:name="_Toc243907986"/>
      <w:r>
        <w:rPr>
          <w:rFonts w:ascii="Times New Roman" w:hAnsi="Times New Roman" w:cs="Times New Roman"/>
          <w:color w:val="auto"/>
          <w:sz w:val="24"/>
          <w:szCs w:val="24"/>
          <w:lang w:val="mk-MK"/>
        </w:rPr>
        <w:t>3.3 Меѓународни најдобри практики и стандарди (ОЕЦД и УНЕСКО)</w:t>
      </w:r>
      <w:bookmarkEnd w:id="35"/>
      <w:bookmarkEnd w:id="36"/>
    </w:p>
    <w:p w14:paraId="7A3469C6" w14:textId="77777777" w:rsidR="00FE200F" w:rsidRDefault="00E77CAF">
      <w:pPr>
        <w:jc w:val="both"/>
        <w:rPr>
          <w:rFonts w:ascii="Times New Roman" w:hAnsi="Times New Roman" w:cs="Times New Roman"/>
          <w:lang w:val="mk-MK"/>
        </w:rPr>
      </w:pPr>
      <w:r>
        <w:rPr>
          <w:rFonts w:ascii="Times New Roman" w:hAnsi="Times New Roman" w:cs="Times New Roman"/>
          <w:bCs/>
          <w:color w:val="auto"/>
          <w:lang w:val="mk-MK"/>
        </w:rPr>
        <w:t xml:space="preserve">Покрај европските регулаторни рамки, глобалните стандарди поставени од ОЕЦД и УНЕСКО играат клучна улога во обликувањето на </w:t>
      </w:r>
      <w:r>
        <w:rPr>
          <w:rFonts w:ascii="Times New Roman" w:hAnsi="Times New Roman" w:cs="Times New Roman"/>
          <w:bCs/>
          <w:color w:val="auto"/>
          <w:lang w:val="mk-MK"/>
        </w:rPr>
        <w:t>националните стратегии за ВИ. Овие рамки нудат практични насоки и методологии за етички развој и имплементација на ВИ.</w:t>
      </w:r>
    </w:p>
    <w:p w14:paraId="47CAD7BA" w14:textId="77777777" w:rsidR="00FE200F" w:rsidRDefault="00FE200F">
      <w:pPr>
        <w:jc w:val="both"/>
        <w:rPr>
          <w:rFonts w:ascii="Times New Roman" w:hAnsi="Times New Roman" w:cs="Times New Roman"/>
          <w:b/>
          <w:color w:val="auto"/>
          <w:lang w:val="mk-MK"/>
        </w:rPr>
      </w:pPr>
    </w:p>
    <w:p w14:paraId="4BC2CBB8"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Принципи на ОЕЦД за вештачка интелигенција</w:t>
      </w:r>
    </w:p>
    <w:p w14:paraId="0B0E20D2" w14:textId="77777777" w:rsidR="00FE200F" w:rsidRDefault="00E77CAF">
      <w:pPr>
        <w:jc w:val="both"/>
        <w:rPr>
          <w:rFonts w:ascii="Times New Roman" w:hAnsi="Times New Roman" w:cs="Times New Roman"/>
          <w:lang w:val="mk-MK"/>
        </w:rPr>
      </w:pPr>
      <w:r>
        <w:rPr>
          <w:rFonts w:ascii="Times New Roman" w:hAnsi="Times New Roman" w:cs="Times New Roman"/>
          <w:bCs/>
          <w:color w:val="auto"/>
          <w:lang w:val="mk-MK"/>
        </w:rPr>
        <w:t xml:space="preserve">Принципите на ОЕЦД, првично усвоени во 2019 година и ажурирани во мај 2024 година, </w:t>
      </w:r>
      <w:r>
        <w:rPr>
          <w:rFonts w:ascii="Times New Roman" w:hAnsi="Times New Roman" w:cs="Times New Roman"/>
          <w:bCs/>
          <w:color w:val="auto"/>
          <w:lang w:val="mk-MK"/>
        </w:rPr>
        <w:t>претставуваат првиот меѓувладин стандард за ВИ. Ажурирањето во 2024 година ја рефлектира потребата за прилагодување кон брзиот технолошки развој, вклучувајќи ги и генеративните ВИ модели. Принципите се поделени во две категории:</w:t>
      </w:r>
    </w:p>
    <w:p w14:paraId="380DDD00" w14:textId="77777777" w:rsidR="00FE200F" w:rsidRDefault="00E77CAF">
      <w:pPr>
        <w:pStyle w:val="ListParagraph"/>
        <w:numPr>
          <w:ilvl w:val="0"/>
          <w:numId w:val="12"/>
        </w:numPr>
        <w:jc w:val="both"/>
        <w:rPr>
          <w:rFonts w:ascii="Times New Roman" w:hAnsi="Times New Roman" w:cs="Times New Roman"/>
          <w:lang w:val="mk-MK"/>
        </w:rPr>
      </w:pPr>
      <w:r>
        <w:rPr>
          <w:rFonts w:ascii="Times New Roman" w:hAnsi="Times New Roman" w:cs="Times New Roman"/>
          <w:b/>
          <w:color w:val="auto"/>
          <w:lang w:val="mk-MK"/>
        </w:rPr>
        <w:t>Принципи базирани на вредно</w:t>
      </w:r>
      <w:r>
        <w:rPr>
          <w:rFonts w:ascii="Times New Roman" w:hAnsi="Times New Roman" w:cs="Times New Roman"/>
          <w:b/>
          <w:color w:val="auto"/>
          <w:lang w:val="mk-MK"/>
        </w:rPr>
        <w:t>сти:</w:t>
      </w:r>
      <w:r>
        <w:rPr>
          <w:rFonts w:ascii="Times New Roman" w:hAnsi="Times New Roman" w:cs="Times New Roman"/>
          <w:bCs/>
          <w:color w:val="auto"/>
          <w:lang w:val="mk-MK"/>
        </w:rPr>
        <w:t xml:space="preserve"> Инклузивен раст и одржлив развој; Човекови права и демократски вредности; Транспарентност и објаснивост; Робусност, безбедност и сигурност; Отчетност.</w:t>
      </w:r>
    </w:p>
    <w:p w14:paraId="06E41222" w14:textId="77777777" w:rsidR="00FE200F" w:rsidRDefault="00E77CAF">
      <w:pPr>
        <w:pStyle w:val="ListParagraph"/>
        <w:numPr>
          <w:ilvl w:val="0"/>
          <w:numId w:val="12"/>
        </w:numPr>
        <w:jc w:val="both"/>
        <w:rPr>
          <w:rFonts w:ascii="Times New Roman" w:hAnsi="Times New Roman" w:cs="Times New Roman"/>
          <w:lang w:val="mk-MK"/>
        </w:rPr>
      </w:pPr>
      <w:r>
        <w:rPr>
          <w:rFonts w:ascii="Times New Roman" w:hAnsi="Times New Roman" w:cs="Times New Roman"/>
          <w:b/>
          <w:color w:val="auto"/>
          <w:lang w:val="mk-MK"/>
        </w:rPr>
        <w:lastRenderedPageBreak/>
        <w:t>Препораки за креаторите на политики:</w:t>
      </w:r>
      <w:r>
        <w:rPr>
          <w:rFonts w:ascii="Times New Roman" w:hAnsi="Times New Roman" w:cs="Times New Roman"/>
          <w:bCs/>
          <w:color w:val="auto"/>
          <w:lang w:val="mk-MK"/>
        </w:rPr>
        <w:t xml:space="preserve"> Инвестирање во истражување и развој на ВИ; Поттикнување на инкл</w:t>
      </w:r>
      <w:r>
        <w:rPr>
          <w:rFonts w:ascii="Times New Roman" w:hAnsi="Times New Roman" w:cs="Times New Roman"/>
          <w:bCs/>
          <w:color w:val="auto"/>
          <w:lang w:val="mk-MK"/>
        </w:rPr>
        <w:t>узивен екосистем за ВИ; Обликување на интероперабилна регулаторна средина; Градење на човечки капацитети и подготовка за транзиција на пазарот на труд; Меѓународна соработка.</w:t>
      </w:r>
    </w:p>
    <w:p w14:paraId="7698609D" w14:textId="77777777" w:rsidR="00FE200F" w:rsidRDefault="00E77CAF">
      <w:pPr>
        <w:jc w:val="both"/>
        <w:rPr>
          <w:rFonts w:ascii="Times New Roman" w:hAnsi="Times New Roman" w:cs="Times New Roman"/>
          <w:lang w:val="mk-MK"/>
        </w:rPr>
      </w:pPr>
      <w:r>
        <w:rPr>
          <w:rFonts w:ascii="Times New Roman" w:hAnsi="Times New Roman" w:cs="Times New Roman"/>
          <w:bCs/>
          <w:color w:val="auto"/>
          <w:lang w:val="mk-MK"/>
        </w:rPr>
        <w:t xml:space="preserve">ОЕЦД </w:t>
      </w:r>
      <w:r>
        <w:rPr>
          <w:rFonts w:ascii="Times New Roman" w:hAnsi="Times New Roman" w:cs="Times New Roman"/>
          <w:bCs/>
          <w:i/>
          <w:iCs/>
          <w:color w:val="auto"/>
          <w:lang w:val="mk-MK"/>
        </w:rPr>
        <w:t>AI Policy Observatory</w:t>
      </w:r>
      <w:r>
        <w:rPr>
          <w:rFonts w:ascii="Times New Roman" w:hAnsi="Times New Roman" w:cs="Times New Roman"/>
          <w:bCs/>
          <w:color w:val="auto"/>
          <w:lang w:val="mk-MK"/>
        </w:rPr>
        <w:t xml:space="preserve"> е сеопфатна платформа која ги следи националните страт</w:t>
      </w:r>
      <w:r>
        <w:rPr>
          <w:rFonts w:ascii="Times New Roman" w:hAnsi="Times New Roman" w:cs="Times New Roman"/>
          <w:bCs/>
          <w:color w:val="auto"/>
          <w:lang w:val="mk-MK"/>
        </w:rPr>
        <w:t>егии за ВИ и нуди база на податоци за најдобри практики. За РСМ, усогласувањето со овие принципи е важно за обезбедување на глобална интероперабилност на националните политики за ВИ.</w:t>
      </w:r>
    </w:p>
    <w:p w14:paraId="4EBF6510" w14:textId="77777777" w:rsidR="00FE200F" w:rsidRDefault="00FE200F">
      <w:pPr>
        <w:jc w:val="both"/>
        <w:rPr>
          <w:rFonts w:ascii="Times New Roman" w:hAnsi="Times New Roman" w:cs="Times New Roman"/>
          <w:bCs/>
          <w:color w:val="auto"/>
          <w:lang w:val="mk-MK"/>
        </w:rPr>
      </w:pPr>
    </w:p>
    <w:p w14:paraId="1F950496"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 xml:space="preserve">УНЕСКО Препорака за етиката на вештачката интелигенција и </w:t>
      </w:r>
      <w:r>
        <w:rPr>
          <w:rFonts w:ascii="Times New Roman" w:hAnsi="Times New Roman" w:cs="Times New Roman"/>
          <w:b/>
          <w:i/>
          <w:iCs/>
          <w:color w:val="auto"/>
          <w:lang w:val="mk-MK"/>
        </w:rPr>
        <w:t>RAM</w:t>
      </w:r>
      <w:r>
        <w:rPr>
          <w:rFonts w:ascii="Times New Roman" w:hAnsi="Times New Roman" w:cs="Times New Roman"/>
          <w:b/>
          <w:color w:val="auto"/>
          <w:lang w:val="mk-MK"/>
        </w:rPr>
        <w:t xml:space="preserve"> методологи</w:t>
      </w:r>
      <w:r>
        <w:rPr>
          <w:rFonts w:ascii="Times New Roman" w:hAnsi="Times New Roman" w:cs="Times New Roman"/>
          <w:b/>
          <w:color w:val="auto"/>
          <w:lang w:val="mk-MK"/>
        </w:rPr>
        <w:t>ја</w:t>
      </w:r>
    </w:p>
    <w:p w14:paraId="32DDA5F1" w14:textId="77777777" w:rsidR="00FE200F" w:rsidRDefault="00E77CAF">
      <w:pPr>
        <w:jc w:val="both"/>
        <w:rPr>
          <w:rFonts w:ascii="Times New Roman" w:hAnsi="Times New Roman" w:cs="Times New Roman"/>
          <w:lang w:val="mk-MK"/>
        </w:rPr>
      </w:pPr>
      <w:r>
        <w:rPr>
          <w:rFonts w:ascii="Times New Roman" w:hAnsi="Times New Roman" w:cs="Times New Roman"/>
          <w:bCs/>
          <w:color w:val="auto"/>
          <w:lang w:val="mk-MK"/>
        </w:rPr>
        <w:t xml:space="preserve">УНЕСКО ја усвои Препораката за етиката на вештачката интелигенција во 2021 година, поставувајќи глобална нормативна рамка. За поддршка на имплементацијата, УНЕСКО ја разви Методологијата за проценка на подготвеноста </w:t>
      </w:r>
      <w:r>
        <w:rPr>
          <w:rFonts w:ascii="Times New Roman" w:hAnsi="Times New Roman" w:cs="Times New Roman"/>
          <w:bCs/>
          <w:i/>
          <w:iCs/>
          <w:color w:val="auto"/>
          <w:lang w:val="mk-MK"/>
        </w:rPr>
        <w:t>(RAM)</w:t>
      </w:r>
      <w:r>
        <w:rPr>
          <w:rFonts w:ascii="Times New Roman" w:hAnsi="Times New Roman" w:cs="Times New Roman"/>
          <w:bCs/>
          <w:color w:val="auto"/>
          <w:lang w:val="mk-MK"/>
        </w:rPr>
        <w:t>.</w:t>
      </w:r>
    </w:p>
    <w:p w14:paraId="7C33D1E8" w14:textId="77777777" w:rsidR="00FE200F" w:rsidRDefault="00E77CAF">
      <w:pPr>
        <w:jc w:val="both"/>
        <w:rPr>
          <w:rFonts w:ascii="Times New Roman" w:hAnsi="Times New Roman" w:cs="Times New Roman"/>
          <w:lang w:val="mk-MK"/>
        </w:rPr>
      </w:pPr>
      <w:r>
        <w:rPr>
          <w:rFonts w:ascii="Times New Roman" w:hAnsi="Times New Roman" w:cs="Times New Roman"/>
          <w:bCs/>
          <w:i/>
          <w:iCs/>
          <w:color w:val="auto"/>
          <w:lang w:val="mk-MK"/>
        </w:rPr>
        <w:t>RAM</w:t>
      </w:r>
      <w:r>
        <w:rPr>
          <w:rFonts w:ascii="Times New Roman" w:hAnsi="Times New Roman" w:cs="Times New Roman"/>
          <w:bCs/>
          <w:color w:val="auto"/>
          <w:lang w:val="mk-MK"/>
        </w:rPr>
        <w:t xml:space="preserve"> е клучна алатка која им по</w:t>
      </w:r>
      <w:r>
        <w:rPr>
          <w:rFonts w:ascii="Times New Roman" w:hAnsi="Times New Roman" w:cs="Times New Roman"/>
          <w:bCs/>
          <w:color w:val="auto"/>
          <w:lang w:val="mk-MK"/>
        </w:rPr>
        <w:t xml:space="preserve">мага на земјите-членки да ја оценат нивната подготвеност за имплементација на етичка ВИ низ пет димензии: правна/регулаторна, социјална/културна, економска, научна/едукативна и технолошка/инфраструктурна. Спроведувањето на </w:t>
      </w:r>
      <w:r>
        <w:rPr>
          <w:rFonts w:ascii="Times New Roman" w:hAnsi="Times New Roman" w:cs="Times New Roman"/>
          <w:bCs/>
          <w:i/>
          <w:iCs/>
          <w:color w:val="auto"/>
          <w:lang w:val="mk-MK"/>
        </w:rPr>
        <w:t>RAM</w:t>
      </w:r>
      <w:r>
        <w:rPr>
          <w:rFonts w:ascii="Times New Roman" w:hAnsi="Times New Roman" w:cs="Times New Roman"/>
          <w:bCs/>
          <w:color w:val="auto"/>
          <w:lang w:val="mk-MK"/>
        </w:rPr>
        <w:t xml:space="preserve"> проценка во РСМ би обезбедило</w:t>
      </w:r>
      <w:r>
        <w:rPr>
          <w:rFonts w:ascii="Times New Roman" w:hAnsi="Times New Roman" w:cs="Times New Roman"/>
          <w:bCs/>
          <w:color w:val="auto"/>
          <w:lang w:val="mk-MK"/>
        </w:rPr>
        <w:t xml:space="preserve"> детална дијагностика на тековната состојба и би ги идентификувало клучните области каде се потребни интервенции, служејќи како основа за Акцискиот план на </w:t>
      </w:r>
      <w:r>
        <w:rPr>
          <w:rFonts w:ascii="Times New Roman" w:hAnsi="Times New Roman" w:cs="Times New Roman"/>
          <w:color w:val="auto"/>
          <w:lang w:val="mk-MK"/>
        </w:rPr>
        <w:t>Стратегијата за употреба на ВИ</w:t>
      </w:r>
      <w:r>
        <w:rPr>
          <w:rFonts w:ascii="Times New Roman" w:hAnsi="Times New Roman" w:cs="Times New Roman"/>
          <w:bCs/>
          <w:color w:val="auto"/>
          <w:lang w:val="mk-MK"/>
        </w:rPr>
        <w:t>.</w:t>
      </w:r>
    </w:p>
    <w:p w14:paraId="6B08BCCC" w14:textId="77777777" w:rsidR="00FE200F" w:rsidRDefault="00FE200F">
      <w:pPr>
        <w:jc w:val="both"/>
        <w:rPr>
          <w:rFonts w:ascii="Times New Roman" w:hAnsi="Times New Roman" w:cs="Times New Roman"/>
          <w:b/>
          <w:color w:val="auto"/>
          <w:lang w:val="mk-MK"/>
        </w:rPr>
      </w:pPr>
    </w:p>
    <w:p w14:paraId="493FC031"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Регионален контекст и добри практики за мали држави</w:t>
      </w:r>
    </w:p>
    <w:p w14:paraId="2DBCE8CD" w14:textId="77777777" w:rsidR="00FE200F" w:rsidRDefault="00E77CAF">
      <w:pPr>
        <w:jc w:val="both"/>
        <w:rPr>
          <w:rFonts w:ascii="Times New Roman" w:hAnsi="Times New Roman" w:cs="Times New Roman"/>
          <w:lang w:val="mk-MK"/>
        </w:rPr>
      </w:pPr>
      <w:r>
        <w:rPr>
          <w:rFonts w:ascii="Times New Roman" w:hAnsi="Times New Roman" w:cs="Times New Roman"/>
          <w:bCs/>
          <w:color w:val="auto"/>
          <w:lang w:val="mk-MK"/>
        </w:rPr>
        <w:t>Анализата на на</w:t>
      </w:r>
      <w:r>
        <w:rPr>
          <w:rFonts w:ascii="Times New Roman" w:hAnsi="Times New Roman" w:cs="Times New Roman"/>
          <w:bCs/>
          <w:color w:val="auto"/>
          <w:lang w:val="mk-MK"/>
        </w:rPr>
        <w:t>ционалните стратегии за ВИ во регионот на Западен Балкан и други мали европски држави укажува на неколку добри практики:</w:t>
      </w:r>
    </w:p>
    <w:p w14:paraId="433BC183" w14:textId="77777777" w:rsidR="00FE200F" w:rsidRDefault="00E77CAF">
      <w:pPr>
        <w:pStyle w:val="ListParagraph"/>
        <w:numPr>
          <w:ilvl w:val="0"/>
          <w:numId w:val="13"/>
        </w:numPr>
        <w:jc w:val="both"/>
        <w:rPr>
          <w:rFonts w:ascii="Times New Roman" w:hAnsi="Times New Roman" w:cs="Times New Roman"/>
          <w:lang w:val="mk-MK"/>
        </w:rPr>
      </w:pPr>
      <w:r>
        <w:rPr>
          <w:rFonts w:ascii="Times New Roman" w:hAnsi="Times New Roman" w:cs="Times New Roman"/>
          <w:b/>
          <w:color w:val="auto"/>
          <w:lang w:val="mk-MK"/>
        </w:rPr>
        <w:t>Фокус на специфични сектори:</w:t>
      </w:r>
      <w:r>
        <w:rPr>
          <w:rFonts w:ascii="Times New Roman" w:hAnsi="Times New Roman" w:cs="Times New Roman"/>
          <w:bCs/>
          <w:color w:val="auto"/>
          <w:lang w:val="mk-MK"/>
        </w:rPr>
        <w:t xml:space="preserve"> Малите држави често се фокусираат на специфични сектори каде имаат компаративна предност (на пр., е-здравс</w:t>
      </w:r>
      <w:r>
        <w:rPr>
          <w:rFonts w:ascii="Times New Roman" w:hAnsi="Times New Roman" w:cs="Times New Roman"/>
          <w:bCs/>
          <w:color w:val="auto"/>
          <w:lang w:val="mk-MK"/>
        </w:rPr>
        <w:t>тво, паметно земјоделство) наместо да се натпреваруваат во развој на основни модели.</w:t>
      </w:r>
    </w:p>
    <w:p w14:paraId="667B8B8A" w14:textId="77777777" w:rsidR="00FE200F" w:rsidRDefault="00E77CAF">
      <w:pPr>
        <w:pStyle w:val="ListParagraph"/>
        <w:numPr>
          <w:ilvl w:val="0"/>
          <w:numId w:val="13"/>
        </w:numPr>
        <w:jc w:val="both"/>
        <w:rPr>
          <w:rFonts w:ascii="Times New Roman" w:hAnsi="Times New Roman" w:cs="Times New Roman"/>
          <w:lang w:val="mk-MK"/>
        </w:rPr>
      </w:pPr>
      <w:r>
        <w:rPr>
          <w:rFonts w:ascii="Times New Roman" w:hAnsi="Times New Roman" w:cs="Times New Roman"/>
          <w:b/>
          <w:color w:val="auto"/>
          <w:lang w:val="mk-MK"/>
        </w:rPr>
        <w:t>Регионална соработка:</w:t>
      </w:r>
      <w:r>
        <w:rPr>
          <w:rFonts w:ascii="Times New Roman" w:hAnsi="Times New Roman" w:cs="Times New Roman"/>
          <w:bCs/>
          <w:color w:val="auto"/>
          <w:lang w:val="mk-MK"/>
        </w:rPr>
        <w:t xml:space="preserve"> Заедничко користење на ресурси, како што се суперкомпјутери или центри за истражување, за надминување на ограничувањата во инфраструктурата.</w:t>
      </w:r>
    </w:p>
    <w:p w14:paraId="2CA51BE1" w14:textId="77777777" w:rsidR="00FE200F" w:rsidRDefault="00E77CAF">
      <w:pPr>
        <w:pStyle w:val="ListParagraph"/>
        <w:numPr>
          <w:ilvl w:val="0"/>
          <w:numId w:val="13"/>
        </w:numPr>
        <w:jc w:val="both"/>
        <w:rPr>
          <w:rFonts w:ascii="Times New Roman" w:hAnsi="Times New Roman" w:cs="Times New Roman"/>
          <w:lang w:val="mk-MK"/>
        </w:rPr>
      </w:pPr>
      <w:r>
        <w:rPr>
          <w:rFonts w:ascii="Times New Roman" w:hAnsi="Times New Roman" w:cs="Times New Roman"/>
          <w:b/>
          <w:color w:val="auto"/>
          <w:lang w:val="mk-MK"/>
        </w:rPr>
        <w:t>Привлеку</w:t>
      </w:r>
      <w:r>
        <w:rPr>
          <w:rFonts w:ascii="Times New Roman" w:hAnsi="Times New Roman" w:cs="Times New Roman"/>
          <w:b/>
          <w:color w:val="auto"/>
          <w:lang w:val="mk-MK"/>
        </w:rPr>
        <w:t>вање и задржување на таленти:</w:t>
      </w:r>
      <w:r>
        <w:rPr>
          <w:rFonts w:ascii="Times New Roman" w:hAnsi="Times New Roman" w:cs="Times New Roman"/>
          <w:bCs/>
          <w:color w:val="auto"/>
          <w:lang w:val="mk-MK"/>
        </w:rPr>
        <w:t xml:space="preserve"> Креирање на поволни услови за ИКТ експерти и истражувачи преку даночни олеснувања и поддршка за стартапи.</w:t>
      </w:r>
    </w:p>
    <w:p w14:paraId="552B4C0C" w14:textId="77777777" w:rsidR="00FE200F" w:rsidRDefault="00FE200F">
      <w:pPr>
        <w:pStyle w:val="Heading3"/>
        <w:jc w:val="both"/>
        <w:rPr>
          <w:rFonts w:ascii="Times New Roman" w:hAnsi="Times New Roman" w:cs="Times New Roman"/>
          <w:color w:val="auto"/>
          <w:lang w:val="mk-MK"/>
        </w:rPr>
      </w:pPr>
    </w:p>
    <w:p w14:paraId="791142DF" w14:textId="77777777" w:rsidR="00FE200F" w:rsidRDefault="00E77CAF">
      <w:pPr>
        <w:pStyle w:val="Heading2"/>
        <w:jc w:val="both"/>
        <w:rPr>
          <w:rFonts w:ascii="Times New Roman" w:hAnsi="Times New Roman" w:cs="Times New Roman"/>
          <w:lang w:val="mk-MK"/>
        </w:rPr>
      </w:pPr>
      <w:bookmarkStart w:id="37" w:name="_Toc240630044"/>
      <w:bookmarkStart w:id="38" w:name="_Toc243907987"/>
      <w:r>
        <w:rPr>
          <w:rFonts w:ascii="Times New Roman" w:hAnsi="Times New Roman" w:cs="Times New Roman"/>
          <w:color w:val="auto"/>
          <w:sz w:val="24"/>
          <w:szCs w:val="24"/>
          <w:lang w:val="mk-MK"/>
        </w:rPr>
        <w:t>3.4 Регионална компаративна анализа (Западен Балкан)</w:t>
      </w:r>
      <w:bookmarkEnd w:id="37"/>
      <w:bookmarkEnd w:id="38"/>
    </w:p>
    <w:p w14:paraId="263F4F0A"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Анализата на регионалниот контекст покажува дека Република Северна Македонија значително заостанува зад своите соседи во развојот на ВИ стратегии и регулаторни рамки. Според </w:t>
      </w:r>
      <w:r>
        <w:rPr>
          <w:rFonts w:ascii="Times New Roman" w:hAnsi="Times New Roman" w:cs="Times New Roman"/>
          <w:i/>
          <w:iCs/>
          <w:color w:val="auto"/>
          <w:lang w:val="mk-MK"/>
        </w:rPr>
        <w:t>OECD Economic Convergence Scoreboard</w:t>
      </w:r>
      <w:r>
        <w:rPr>
          <w:rFonts w:ascii="Times New Roman" w:hAnsi="Times New Roman" w:cs="Times New Roman"/>
          <w:color w:val="auto"/>
          <w:lang w:val="mk-MK"/>
        </w:rPr>
        <w:t xml:space="preserve"> (2025), усвојувањето на напредни технологии в</w:t>
      </w:r>
      <w:r>
        <w:rPr>
          <w:rFonts w:ascii="Times New Roman" w:hAnsi="Times New Roman" w:cs="Times New Roman"/>
          <w:color w:val="auto"/>
          <w:lang w:val="mk-MK"/>
        </w:rPr>
        <w:t xml:space="preserve">клучувајќи ВИ во регионот е бавно, делумно поради неразвиени рамки за </w:t>
      </w:r>
      <w:r>
        <w:rPr>
          <w:rFonts w:ascii="Times New Roman" w:hAnsi="Times New Roman" w:cs="Times New Roman"/>
          <w:color w:val="auto"/>
          <w:lang w:val="mk-MK"/>
        </w:rPr>
        <w:lastRenderedPageBreak/>
        <w:t>управување, при што Србија е лидер, а Северна Македонија бележи недостаток на податоци и стратешки фокус.</w:t>
      </w:r>
    </w:p>
    <w:p w14:paraId="65C7E701"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За да се обезбеди објективна споредба, развиена е Методологија за проценка на ВИ</w:t>
      </w:r>
      <w:r>
        <w:rPr>
          <w:rFonts w:ascii="Times New Roman" w:hAnsi="Times New Roman" w:cs="Times New Roman"/>
          <w:color w:val="auto"/>
          <w:lang w:val="mk-MK"/>
        </w:rPr>
        <w:t xml:space="preserve"> зрелост базирана на четири клучни параметри, секој со максимални 2.5 поени (вкупно 10 поени):</w:t>
      </w:r>
    </w:p>
    <w:p w14:paraId="40F6104B" w14:textId="77777777" w:rsidR="00FE200F" w:rsidRDefault="00E77CAF">
      <w:pPr>
        <w:pStyle w:val="ListNumber"/>
        <w:numPr>
          <w:ilvl w:val="0"/>
          <w:numId w:val="15"/>
        </w:numPr>
        <w:jc w:val="both"/>
        <w:rPr>
          <w:rFonts w:ascii="Times New Roman" w:hAnsi="Times New Roman" w:cs="Times New Roman"/>
          <w:lang w:val="mk-MK"/>
        </w:rPr>
      </w:pPr>
      <w:r>
        <w:rPr>
          <w:rFonts w:ascii="Times New Roman" w:hAnsi="Times New Roman" w:cs="Times New Roman"/>
          <w:b/>
          <w:color w:val="auto"/>
          <w:lang w:val="mk-MK"/>
        </w:rPr>
        <w:t xml:space="preserve">Стратешка рамка (0–2.5): </w:t>
      </w:r>
      <w:r>
        <w:rPr>
          <w:rFonts w:ascii="Times New Roman" w:hAnsi="Times New Roman" w:cs="Times New Roman"/>
          <w:color w:val="auto"/>
          <w:lang w:val="mk-MK"/>
        </w:rPr>
        <w:t>Постоење на усвоена, сеопфатна и финансирана Стратегија за употреба на ВИ.</w:t>
      </w:r>
    </w:p>
    <w:p w14:paraId="3ADBDB8C" w14:textId="77777777" w:rsidR="00FE200F" w:rsidRDefault="00E77CAF">
      <w:pPr>
        <w:pStyle w:val="ListNumber"/>
        <w:numPr>
          <w:ilvl w:val="0"/>
          <w:numId w:val="15"/>
        </w:numPr>
        <w:jc w:val="both"/>
        <w:rPr>
          <w:rFonts w:ascii="Times New Roman" w:hAnsi="Times New Roman" w:cs="Times New Roman"/>
          <w:lang w:val="mk-MK"/>
        </w:rPr>
      </w:pPr>
      <w:r>
        <w:rPr>
          <w:rFonts w:ascii="Times New Roman" w:hAnsi="Times New Roman" w:cs="Times New Roman"/>
          <w:b/>
          <w:color w:val="auto"/>
          <w:lang w:val="mk-MK"/>
        </w:rPr>
        <w:t xml:space="preserve">Институционален капацитет (0–2.5): </w:t>
      </w:r>
      <w:r>
        <w:rPr>
          <w:rFonts w:ascii="Times New Roman" w:hAnsi="Times New Roman" w:cs="Times New Roman"/>
          <w:color w:val="auto"/>
          <w:lang w:val="mk-MK"/>
        </w:rPr>
        <w:t>Постоење на посветени тела</w:t>
      </w:r>
      <w:r>
        <w:rPr>
          <w:rFonts w:ascii="Times New Roman" w:hAnsi="Times New Roman" w:cs="Times New Roman"/>
          <w:color w:val="auto"/>
          <w:lang w:val="mk-MK"/>
        </w:rPr>
        <w:t xml:space="preserve"> (институти, агенции) за развој и надзор на ВИ.</w:t>
      </w:r>
    </w:p>
    <w:p w14:paraId="1F825C95" w14:textId="77777777" w:rsidR="00FE200F" w:rsidRDefault="00E77CAF">
      <w:pPr>
        <w:pStyle w:val="ListNumber"/>
        <w:numPr>
          <w:ilvl w:val="0"/>
          <w:numId w:val="15"/>
        </w:numPr>
        <w:jc w:val="both"/>
        <w:rPr>
          <w:rFonts w:ascii="Times New Roman" w:hAnsi="Times New Roman" w:cs="Times New Roman"/>
          <w:lang w:val="mk-MK"/>
        </w:rPr>
      </w:pPr>
      <w:r>
        <w:rPr>
          <w:rFonts w:ascii="Times New Roman" w:hAnsi="Times New Roman" w:cs="Times New Roman"/>
          <w:b/>
          <w:color w:val="auto"/>
          <w:lang w:val="mk-MK"/>
        </w:rPr>
        <w:t xml:space="preserve">ЕУ усогласеност и регулатива (0–2.5): </w:t>
      </w:r>
      <w:r>
        <w:rPr>
          <w:rFonts w:ascii="Times New Roman" w:hAnsi="Times New Roman" w:cs="Times New Roman"/>
          <w:color w:val="auto"/>
          <w:lang w:val="mk-MK"/>
        </w:rPr>
        <w:t>Степен на усогласеност со ЕУ Актот за ВИ и постоење на специфична правна рамка.</w:t>
      </w:r>
    </w:p>
    <w:p w14:paraId="672687FC" w14:textId="77777777" w:rsidR="00FE200F" w:rsidRDefault="00E77CAF">
      <w:pPr>
        <w:pStyle w:val="ListNumber"/>
        <w:numPr>
          <w:ilvl w:val="0"/>
          <w:numId w:val="15"/>
        </w:numPr>
        <w:jc w:val="both"/>
        <w:rPr>
          <w:rFonts w:ascii="Times New Roman" w:hAnsi="Times New Roman" w:cs="Times New Roman"/>
          <w:lang w:val="mk-MK"/>
        </w:rPr>
      </w:pPr>
      <w:r>
        <w:rPr>
          <w:rFonts w:ascii="Times New Roman" w:hAnsi="Times New Roman" w:cs="Times New Roman"/>
          <w:b/>
          <w:color w:val="auto"/>
          <w:lang w:val="mk-MK"/>
        </w:rPr>
        <w:t xml:space="preserve">Инфраструктура и екосистем (0–2.5): </w:t>
      </w:r>
      <w:r>
        <w:rPr>
          <w:rFonts w:ascii="Times New Roman" w:hAnsi="Times New Roman" w:cs="Times New Roman"/>
          <w:color w:val="auto"/>
          <w:lang w:val="mk-MK"/>
        </w:rPr>
        <w:t xml:space="preserve">Инвестиции во </w:t>
      </w:r>
      <w:r>
        <w:rPr>
          <w:rFonts w:ascii="Times New Roman" w:hAnsi="Times New Roman" w:cs="Times New Roman"/>
          <w:i/>
          <w:iCs/>
          <w:color w:val="auto"/>
          <w:lang w:val="mk-MK"/>
        </w:rPr>
        <w:t>HPC</w:t>
      </w:r>
      <w:r>
        <w:rPr>
          <w:rFonts w:ascii="Times New Roman" w:hAnsi="Times New Roman" w:cs="Times New Roman"/>
          <w:color w:val="auto"/>
          <w:lang w:val="mk-MK"/>
        </w:rPr>
        <w:t xml:space="preserve"> (суперкомпјутери), стартап екосистем и пилот проекти во јавниот сектор.</w:t>
      </w:r>
    </w:p>
    <w:p w14:paraId="4C3BAFCE"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Следниот дел претставува продлабочена анализа на секоја земја, со цел да се извлечат конкретни лекции и компаративни увиди релевантни за Република Северна Македонија. Анализата е стру</w:t>
      </w:r>
      <w:r>
        <w:rPr>
          <w:rFonts w:ascii="Times New Roman" w:hAnsi="Times New Roman" w:cs="Times New Roman"/>
          <w:color w:val="auto"/>
          <w:lang w:val="mk-MK"/>
        </w:rPr>
        <w:t>ктурирана по четири димензии: стратешка рамка, институционален капацитет, ЕУ усогласеност и инфраструктура/екосистем.</w:t>
      </w:r>
    </w:p>
    <w:p w14:paraId="28D442D6" w14:textId="77777777" w:rsidR="00FE200F" w:rsidRDefault="00E77CAF">
      <w:pPr>
        <w:pStyle w:val="Heading3"/>
        <w:jc w:val="both"/>
        <w:rPr>
          <w:rFonts w:ascii="Times New Roman" w:hAnsi="Times New Roman" w:cs="Times New Roman"/>
          <w:lang w:val="mk-MK"/>
        </w:rPr>
      </w:pPr>
      <w:bookmarkStart w:id="39" w:name="_Toc240630045"/>
      <w:bookmarkStart w:id="40" w:name="_Toc243907988"/>
      <w:r>
        <w:rPr>
          <w:rFonts w:ascii="Times New Roman" w:hAnsi="Times New Roman" w:cs="Times New Roman"/>
          <w:color w:val="auto"/>
          <w:lang w:val="mk-MK"/>
        </w:rPr>
        <w:t>3.4.1 Република Србија (Лидер – 7.5/10)</w:t>
      </w:r>
      <w:bookmarkEnd w:id="39"/>
      <w:bookmarkEnd w:id="40"/>
    </w:p>
    <w:p w14:paraId="7214CCC7"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Србија е недвосмислен регионален лидер во развојот на ВИ политики и инфраструктура, со предност из</w:t>
      </w:r>
      <w:r>
        <w:rPr>
          <w:rFonts w:ascii="Times New Roman" w:hAnsi="Times New Roman" w:cs="Times New Roman"/>
          <w:color w:val="auto"/>
          <w:lang w:val="mk-MK"/>
        </w:rPr>
        <w:t>градена во текот на повеќе од шест години систематска работа. Нејзиниот пат е поучен пример за тоа колку е важно раното и одлучно институционално дејствување.</w:t>
      </w:r>
    </w:p>
    <w:p w14:paraId="2300E19C"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 xml:space="preserve">Стратешка рамка: </w:t>
      </w:r>
      <w:r>
        <w:rPr>
          <w:rFonts w:ascii="Times New Roman" w:hAnsi="Times New Roman" w:cs="Times New Roman"/>
          <w:color w:val="auto"/>
          <w:lang w:val="mk-MK"/>
        </w:rPr>
        <w:t xml:space="preserve">Србија беше првата земја во Југоисточна Европа која усвои сеопфатна рамка за ВИ </w:t>
      </w:r>
      <w:r>
        <w:rPr>
          <w:rFonts w:ascii="Times New Roman" w:hAnsi="Times New Roman" w:cs="Times New Roman"/>
          <w:color w:val="auto"/>
          <w:lang w:val="mk-MK"/>
        </w:rPr>
        <w:t>уште во 2019 година. Во јануари 2025 година, Владата на Република Србија усвои нова Стратегија за развој на вештачка интелигенција за периодот 2025–2030. Стратегијата е развиена преку широки консултации со стручната заедница и Советот за вештачка интелиген</w:t>
      </w:r>
      <w:r>
        <w:rPr>
          <w:rFonts w:ascii="Times New Roman" w:hAnsi="Times New Roman" w:cs="Times New Roman"/>
          <w:color w:val="auto"/>
          <w:lang w:val="mk-MK"/>
        </w:rPr>
        <w:t>ција при Владата на Србија. Таа е усогласена со програмата „Скок во иднината 2027“ и поставува амбициозни цели: автоматизација на 14% од тековните работни места и трансформација на уште 32% од занимањата (</w:t>
      </w:r>
      <w:r>
        <w:rPr>
          <w:rFonts w:ascii="Times New Roman" w:hAnsi="Times New Roman" w:cs="Times New Roman"/>
          <w:i/>
          <w:iCs/>
          <w:color w:val="auto"/>
          <w:lang w:val="mk-MK"/>
        </w:rPr>
        <w:t>ai.gov.rs</w:t>
      </w:r>
      <w:r>
        <w:rPr>
          <w:rFonts w:ascii="Times New Roman" w:hAnsi="Times New Roman" w:cs="Times New Roman"/>
          <w:color w:val="auto"/>
          <w:lang w:val="mk-MK"/>
        </w:rPr>
        <w:t>, 2025). Стратегијата се фокусира на четир</w:t>
      </w:r>
      <w:r>
        <w:rPr>
          <w:rFonts w:ascii="Times New Roman" w:hAnsi="Times New Roman" w:cs="Times New Roman"/>
          <w:color w:val="auto"/>
          <w:lang w:val="mk-MK"/>
        </w:rPr>
        <w:t>и столба: унапредување на законодавната рамка, инвестиции во образование, поттикнување на иновации и инфраструктура, и проширување на ВИ апликации во јавниот сектор.</w:t>
      </w:r>
    </w:p>
    <w:p w14:paraId="73DBE620" w14:textId="77777777" w:rsidR="00FE200F" w:rsidRDefault="00FE200F">
      <w:pPr>
        <w:jc w:val="both"/>
        <w:rPr>
          <w:rFonts w:ascii="Times New Roman" w:hAnsi="Times New Roman" w:cs="Times New Roman"/>
          <w:b/>
          <w:color w:val="auto"/>
          <w:lang w:val="mk-MK"/>
        </w:rPr>
      </w:pPr>
    </w:p>
    <w:p w14:paraId="56184C44"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 xml:space="preserve">ЕУ усогласеност и меѓународна позиција: </w:t>
      </w:r>
      <w:r>
        <w:rPr>
          <w:rFonts w:ascii="Times New Roman" w:hAnsi="Times New Roman" w:cs="Times New Roman"/>
          <w:color w:val="auto"/>
          <w:lang w:val="mk-MK"/>
        </w:rPr>
        <w:t>Србија ја зацврсти својата меѓународна позиција п</w:t>
      </w:r>
      <w:r>
        <w:rPr>
          <w:rFonts w:ascii="Times New Roman" w:hAnsi="Times New Roman" w:cs="Times New Roman"/>
          <w:color w:val="auto"/>
          <w:lang w:val="mk-MK"/>
        </w:rPr>
        <w:t>реку претседавањето со Глобалното партнерство за вештачка интелигенција (</w:t>
      </w:r>
      <w:r>
        <w:rPr>
          <w:rFonts w:ascii="Times New Roman" w:hAnsi="Times New Roman" w:cs="Times New Roman"/>
          <w:i/>
          <w:iCs/>
          <w:color w:val="auto"/>
          <w:lang w:val="mk-MK"/>
        </w:rPr>
        <w:t>GPAI</w:t>
      </w:r>
      <w:r>
        <w:rPr>
          <w:rFonts w:ascii="Times New Roman" w:hAnsi="Times New Roman" w:cs="Times New Roman"/>
          <w:color w:val="auto"/>
          <w:lang w:val="mk-MK"/>
        </w:rPr>
        <w:t xml:space="preserve">) во 2024–2025 година, при што Белград беше домаќин на Самитот на </w:t>
      </w:r>
      <w:r>
        <w:rPr>
          <w:rFonts w:ascii="Times New Roman" w:hAnsi="Times New Roman" w:cs="Times New Roman"/>
          <w:i/>
          <w:iCs/>
          <w:color w:val="auto"/>
          <w:lang w:val="mk-MK"/>
        </w:rPr>
        <w:t>GPAI</w:t>
      </w:r>
      <w:r>
        <w:rPr>
          <w:rFonts w:ascii="Times New Roman" w:hAnsi="Times New Roman" w:cs="Times New Roman"/>
          <w:color w:val="auto"/>
          <w:lang w:val="mk-MK"/>
        </w:rPr>
        <w:t xml:space="preserve"> во декември 2024 година. Ова претседавање ја позиционира Србија не само како регионален, туку и како глобале</w:t>
      </w:r>
      <w:r>
        <w:rPr>
          <w:rFonts w:ascii="Times New Roman" w:hAnsi="Times New Roman" w:cs="Times New Roman"/>
          <w:color w:val="auto"/>
          <w:lang w:val="mk-MK"/>
        </w:rPr>
        <w:t>н актер во обликувањето на нормите за одговорна ВИ. Иако Србија е земја кандидат и не е директно обврзана со ЕУ Актот за ВИ, нејзината стратегија е намерно усогласена со европските стандарди, со цел олеснување на идното пристапување.</w:t>
      </w:r>
    </w:p>
    <w:p w14:paraId="7D32A318" w14:textId="77777777" w:rsidR="00FE200F" w:rsidRDefault="00FE200F">
      <w:pPr>
        <w:jc w:val="both"/>
        <w:rPr>
          <w:rFonts w:ascii="Times New Roman" w:hAnsi="Times New Roman" w:cs="Times New Roman"/>
          <w:b/>
          <w:color w:val="auto"/>
          <w:lang w:val="mk-MK"/>
        </w:rPr>
      </w:pPr>
    </w:p>
    <w:p w14:paraId="1AA7BA1F"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Лекции за Северна Мак</w:t>
      </w:r>
      <w:r>
        <w:rPr>
          <w:rFonts w:ascii="Times New Roman" w:hAnsi="Times New Roman" w:cs="Times New Roman"/>
          <w:b/>
          <w:color w:val="auto"/>
          <w:lang w:val="mk-MK"/>
        </w:rPr>
        <w:t xml:space="preserve">едонија: </w:t>
      </w:r>
      <w:r>
        <w:rPr>
          <w:rFonts w:ascii="Times New Roman" w:hAnsi="Times New Roman" w:cs="Times New Roman"/>
          <w:color w:val="auto"/>
          <w:lang w:val="mk-MK"/>
        </w:rPr>
        <w:t xml:space="preserve">Српскиот модел демонстрира дека раното и конзистентно институционално инвестирање создава кумулативна предност. Формирањето на посветен </w:t>
      </w:r>
      <w:r>
        <w:rPr>
          <w:rFonts w:ascii="Times New Roman" w:hAnsi="Times New Roman" w:cs="Times New Roman"/>
          <w:color w:val="auto"/>
          <w:lang w:val="mk-MK"/>
        </w:rPr>
        <w:lastRenderedPageBreak/>
        <w:t>совет за ВИ при Владата, директно финансирање преку научни фондови и интеграција во меѓународни мрежи (</w:t>
      </w:r>
      <w:r>
        <w:rPr>
          <w:rFonts w:ascii="Times New Roman" w:hAnsi="Times New Roman" w:cs="Times New Roman"/>
          <w:i/>
          <w:iCs/>
          <w:color w:val="auto"/>
          <w:lang w:val="mk-MK"/>
        </w:rPr>
        <w:t xml:space="preserve">GPAI, </w:t>
      </w:r>
      <w:r>
        <w:rPr>
          <w:rFonts w:ascii="Times New Roman" w:hAnsi="Times New Roman" w:cs="Times New Roman"/>
          <w:color w:val="auto"/>
          <w:lang w:val="mk-MK"/>
        </w:rPr>
        <w:t>ЕД</w:t>
      </w:r>
      <w:r>
        <w:rPr>
          <w:rFonts w:ascii="Times New Roman" w:hAnsi="Times New Roman" w:cs="Times New Roman"/>
          <w:color w:val="auto"/>
          <w:lang w:val="mk-MK"/>
        </w:rPr>
        <w:t>ИХ ХАБОВИ) се елементи кои Северна Македонија може и треба да ги адаптира.</w:t>
      </w:r>
    </w:p>
    <w:p w14:paraId="2F9BE80B" w14:textId="77777777" w:rsidR="00FE200F" w:rsidRDefault="00FE200F">
      <w:pPr>
        <w:jc w:val="both"/>
        <w:rPr>
          <w:rFonts w:ascii="Times New Roman" w:hAnsi="Times New Roman" w:cs="Times New Roman"/>
          <w:color w:val="auto"/>
          <w:lang w:val="mk-MK"/>
        </w:rPr>
      </w:pPr>
    </w:p>
    <w:p w14:paraId="0B21AAFE" w14:textId="77777777" w:rsidR="00FE200F" w:rsidRDefault="00E77CAF">
      <w:pPr>
        <w:pStyle w:val="Heading3"/>
        <w:jc w:val="both"/>
        <w:rPr>
          <w:rFonts w:ascii="Times New Roman" w:hAnsi="Times New Roman" w:cs="Times New Roman"/>
          <w:lang w:val="mk-MK"/>
        </w:rPr>
      </w:pPr>
      <w:bookmarkStart w:id="41" w:name="_Toc240630046"/>
      <w:bookmarkStart w:id="42" w:name="_Toc243907989"/>
      <w:r>
        <w:rPr>
          <w:rFonts w:ascii="Times New Roman" w:hAnsi="Times New Roman" w:cs="Times New Roman"/>
          <w:color w:val="auto"/>
          <w:lang w:val="mk-MK"/>
        </w:rPr>
        <w:t>3.4.2 Република Хрватска (ЕУ членка – 7.0/10)</w:t>
      </w:r>
      <w:bookmarkEnd w:id="41"/>
      <w:bookmarkEnd w:id="42"/>
    </w:p>
    <w:p w14:paraId="25A98035"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Хрватска претставува уникатен случај во регионот: иако е членка на ЕУ од 2013 година и директно подлежи на ЕУ Актот за ВИ, таа сè уште</w:t>
      </w:r>
      <w:r>
        <w:rPr>
          <w:rFonts w:ascii="Times New Roman" w:hAnsi="Times New Roman" w:cs="Times New Roman"/>
          <w:color w:val="auto"/>
          <w:lang w:val="mk-MK"/>
        </w:rPr>
        <w:t xml:space="preserve"> нема финализирана и официјално објавена национална ВИ стратегија. Ова покажува дека членството во ЕУ само по себе не гарантира брза имплементација, но обезбедува силна регулаторна рамка и финансиски механизми.</w:t>
      </w:r>
    </w:p>
    <w:p w14:paraId="72A831FD" w14:textId="77777777" w:rsidR="00FE200F" w:rsidRDefault="00FE200F">
      <w:pPr>
        <w:jc w:val="both"/>
        <w:rPr>
          <w:rFonts w:ascii="Times New Roman" w:hAnsi="Times New Roman" w:cs="Times New Roman"/>
          <w:b/>
          <w:color w:val="auto"/>
          <w:lang w:val="mk-MK"/>
        </w:rPr>
      </w:pPr>
    </w:p>
    <w:p w14:paraId="3992B4B7"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 xml:space="preserve">Институционален капацитет: </w:t>
      </w:r>
      <w:r>
        <w:rPr>
          <w:rFonts w:ascii="Times New Roman" w:hAnsi="Times New Roman" w:cs="Times New Roman"/>
          <w:color w:val="auto"/>
          <w:lang w:val="mk-MK"/>
        </w:rPr>
        <w:t>Министерството за</w:t>
      </w:r>
      <w:r>
        <w:rPr>
          <w:rFonts w:ascii="Times New Roman" w:hAnsi="Times New Roman" w:cs="Times New Roman"/>
          <w:color w:val="auto"/>
          <w:lang w:val="mk-MK"/>
        </w:rPr>
        <w:t xml:space="preserve"> правосудство, администрација и дигитална трансформација е централниот орган за дигитална политика, по консолидацијата на функциите на поранешната Централна државна канцеларија за развој на дигиталното општество. Агенцијата за заштита на личните податоци е</w:t>
      </w:r>
      <w:r>
        <w:rPr>
          <w:rFonts w:ascii="Times New Roman" w:hAnsi="Times New Roman" w:cs="Times New Roman"/>
          <w:color w:val="auto"/>
          <w:lang w:val="mk-MK"/>
        </w:rPr>
        <w:t xml:space="preserve"> клучен орган за надзор на влијанието на ВИ врз приватноста. Регулаторот за електронски комуникации </w:t>
      </w:r>
      <w:r>
        <w:rPr>
          <w:rFonts w:ascii="Times New Roman" w:hAnsi="Times New Roman" w:cs="Times New Roman"/>
          <w:i/>
          <w:iCs/>
          <w:color w:val="auto"/>
          <w:lang w:val="mk-MK"/>
        </w:rPr>
        <w:t>HAKOM</w:t>
      </w:r>
      <w:r>
        <w:rPr>
          <w:rFonts w:ascii="Times New Roman" w:hAnsi="Times New Roman" w:cs="Times New Roman"/>
          <w:color w:val="auto"/>
          <w:lang w:val="mk-MK"/>
        </w:rPr>
        <w:t xml:space="preserve"> ќе игра улога во надзорот на пазарот. Хрватска исто така располага со специјализиран конзорциум </w:t>
      </w:r>
      <w:r>
        <w:rPr>
          <w:rFonts w:ascii="Times New Roman" w:hAnsi="Times New Roman" w:cs="Times New Roman"/>
          <w:i/>
          <w:iCs/>
          <w:color w:val="auto"/>
          <w:lang w:val="mk-MK"/>
        </w:rPr>
        <w:t>AI4Health.Cro</w:t>
      </w:r>
      <w:r>
        <w:rPr>
          <w:rFonts w:ascii="Times New Roman" w:hAnsi="Times New Roman" w:cs="Times New Roman"/>
          <w:color w:val="auto"/>
          <w:lang w:val="mk-MK"/>
        </w:rPr>
        <w:t xml:space="preserve"> за примена на ВИ во здравството.</w:t>
      </w:r>
    </w:p>
    <w:p w14:paraId="4C2BA96C" w14:textId="77777777" w:rsidR="00FE200F" w:rsidRDefault="00FE200F">
      <w:pPr>
        <w:jc w:val="both"/>
        <w:rPr>
          <w:rFonts w:ascii="Times New Roman" w:hAnsi="Times New Roman" w:cs="Times New Roman"/>
          <w:b/>
          <w:color w:val="auto"/>
          <w:lang w:val="mk-MK"/>
        </w:rPr>
      </w:pPr>
    </w:p>
    <w:p w14:paraId="420F5F03"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 xml:space="preserve">Инфраструктура и екосистем: </w:t>
      </w:r>
      <w:r>
        <w:rPr>
          <w:rFonts w:ascii="Times New Roman" w:hAnsi="Times New Roman" w:cs="Times New Roman"/>
          <w:color w:val="auto"/>
          <w:lang w:val="mk-MK"/>
        </w:rPr>
        <w:t xml:space="preserve">Хрватска поседува еден од најразвиените стартап екосистеми во регионот. Двата „еднорози" – </w:t>
      </w:r>
      <w:r>
        <w:rPr>
          <w:rFonts w:ascii="Times New Roman" w:hAnsi="Times New Roman" w:cs="Times New Roman"/>
          <w:i/>
          <w:iCs/>
          <w:color w:val="auto"/>
          <w:lang w:val="mk-MK"/>
        </w:rPr>
        <w:t>Infobip</w:t>
      </w:r>
      <w:r>
        <w:rPr>
          <w:rFonts w:ascii="Times New Roman" w:hAnsi="Times New Roman" w:cs="Times New Roman"/>
          <w:color w:val="auto"/>
          <w:lang w:val="mk-MK"/>
        </w:rPr>
        <w:t xml:space="preserve"> (платформа за комуникации) и </w:t>
      </w:r>
      <w:r>
        <w:rPr>
          <w:rFonts w:ascii="Times New Roman" w:hAnsi="Times New Roman" w:cs="Times New Roman"/>
          <w:i/>
          <w:iCs/>
          <w:color w:val="auto"/>
          <w:lang w:val="mk-MK"/>
        </w:rPr>
        <w:t>Rimac Automobili</w:t>
      </w:r>
      <w:r>
        <w:rPr>
          <w:rFonts w:ascii="Times New Roman" w:hAnsi="Times New Roman" w:cs="Times New Roman"/>
          <w:color w:val="auto"/>
          <w:lang w:val="mk-MK"/>
        </w:rPr>
        <w:t xml:space="preserve"> (електрични возила) – се глобални успешни приказни кои ја ставаат Хрватска на светс</w:t>
      </w:r>
      <w:r>
        <w:rPr>
          <w:rFonts w:ascii="Times New Roman" w:hAnsi="Times New Roman" w:cs="Times New Roman"/>
          <w:color w:val="auto"/>
          <w:lang w:val="mk-MK"/>
        </w:rPr>
        <w:t>ката карта на технолошки иновации. Нивниот придонес достигнува 4.1% од националниот БДП (</w:t>
      </w:r>
      <w:r>
        <w:rPr>
          <w:rFonts w:ascii="Times New Roman" w:hAnsi="Times New Roman" w:cs="Times New Roman"/>
          <w:i/>
          <w:iCs/>
          <w:color w:val="auto"/>
          <w:lang w:val="mk-MK"/>
        </w:rPr>
        <w:t>Co-Investin</w:t>
      </w:r>
      <w:r>
        <w:rPr>
          <w:rFonts w:ascii="Times New Roman" w:hAnsi="Times New Roman" w:cs="Times New Roman"/>
          <w:color w:val="auto"/>
          <w:lang w:val="mk-MK"/>
        </w:rPr>
        <w:t xml:space="preserve">, 2025). Покрај нив, стартапот </w:t>
      </w:r>
      <w:r>
        <w:rPr>
          <w:rFonts w:ascii="Times New Roman" w:hAnsi="Times New Roman" w:cs="Times New Roman"/>
          <w:i/>
          <w:iCs/>
          <w:color w:val="auto"/>
          <w:lang w:val="mk-MK"/>
        </w:rPr>
        <w:t>Photomath</w:t>
      </w:r>
      <w:r>
        <w:rPr>
          <w:rFonts w:ascii="Times New Roman" w:hAnsi="Times New Roman" w:cs="Times New Roman"/>
          <w:color w:val="auto"/>
          <w:lang w:val="mk-MK"/>
        </w:rPr>
        <w:t xml:space="preserve"> (математичка апликација со ВИ, откупена од </w:t>
      </w:r>
      <w:r>
        <w:rPr>
          <w:rFonts w:ascii="Times New Roman" w:hAnsi="Times New Roman" w:cs="Times New Roman"/>
          <w:i/>
          <w:iCs/>
          <w:color w:val="auto"/>
          <w:lang w:val="mk-MK"/>
        </w:rPr>
        <w:t>Google</w:t>
      </w:r>
      <w:r>
        <w:rPr>
          <w:rFonts w:ascii="Times New Roman" w:hAnsi="Times New Roman" w:cs="Times New Roman"/>
          <w:color w:val="auto"/>
          <w:lang w:val="mk-MK"/>
        </w:rPr>
        <w:t xml:space="preserve">) и </w:t>
      </w:r>
      <w:r>
        <w:rPr>
          <w:rFonts w:ascii="Times New Roman" w:hAnsi="Times New Roman" w:cs="Times New Roman"/>
          <w:i/>
          <w:iCs/>
          <w:color w:val="auto"/>
          <w:lang w:val="mk-MK"/>
        </w:rPr>
        <w:t>Gideon Brothers</w:t>
      </w:r>
      <w:r>
        <w:rPr>
          <w:rFonts w:ascii="Times New Roman" w:hAnsi="Times New Roman" w:cs="Times New Roman"/>
          <w:color w:val="auto"/>
          <w:lang w:val="mk-MK"/>
        </w:rPr>
        <w:t xml:space="preserve"> (автономни роботи) покажуваат длабочина на ВИ </w:t>
      </w:r>
      <w:r>
        <w:rPr>
          <w:rFonts w:ascii="Times New Roman" w:hAnsi="Times New Roman" w:cs="Times New Roman"/>
          <w:color w:val="auto"/>
          <w:lang w:val="mk-MK"/>
        </w:rPr>
        <w:t>екосистемот. Стратегијата за паметна специјализација (</w:t>
      </w:r>
      <w:r>
        <w:rPr>
          <w:rFonts w:ascii="Times New Roman" w:hAnsi="Times New Roman" w:cs="Times New Roman"/>
          <w:i/>
          <w:iCs/>
          <w:color w:val="auto"/>
          <w:lang w:val="mk-MK"/>
        </w:rPr>
        <w:t>S3</w:t>
      </w:r>
      <w:r>
        <w:rPr>
          <w:rFonts w:ascii="Times New Roman" w:hAnsi="Times New Roman" w:cs="Times New Roman"/>
          <w:color w:val="auto"/>
          <w:lang w:val="mk-MK"/>
        </w:rPr>
        <w:t>) 2029 ги идентификува „Дигиталните производи и платформи" (вклучувајќи машинско учење и ВИ) како приоритетна област за финансирање.</w:t>
      </w:r>
    </w:p>
    <w:p w14:paraId="62BCDA91" w14:textId="77777777" w:rsidR="00FE200F" w:rsidRDefault="00FE200F">
      <w:pPr>
        <w:jc w:val="both"/>
        <w:rPr>
          <w:rFonts w:ascii="Times New Roman" w:hAnsi="Times New Roman" w:cs="Times New Roman"/>
          <w:b/>
          <w:color w:val="auto"/>
          <w:lang w:val="mk-MK"/>
        </w:rPr>
      </w:pPr>
    </w:p>
    <w:p w14:paraId="0219DCC6"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 xml:space="preserve">Лекции за Северна Македонија: </w:t>
      </w:r>
      <w:r>
        <w:rPr>
          <w:rFonts w:ascii="Times New Roman" w:hAnsi="Times New Roman" w:cs="Times New Roman"/>
          <w:color w:val="auto"/>
          <w:lang w:val="mk-MK"/>
        </w:rPr>
        <w:t>Хрватскиот пример покажува дека прив</w:t>
      </w:r>
      <w:r>
        <w:rPr>
          <w:rFonts w:ascii="Times New Roman" w:hAnsi="Times New Roman" w:cs="Times New Roman"/>
          <w:color w:val="auto"/>
          <w:lang w:val="mk-MK"/>
        </w:rPr>
        <w:t>атниот сектор може да биде значаен двигател на ВИ иновации, а улогата на владата е да обезбеди поддршка и нормативна рамка, а не да ги води сите иницијативи. Моделот на „Претприемачки процес на откривање“ е особено релевантен за Македонија, каде постои сил</w:t>
      </w:r>
      <w:r>
        <w:rPr>
          <w:rFonts w:ascii="Times New Roman" w:hAnsi="Times New Roman" w:cs="Times New Roman"/>
          <w:color w:val="auto"/>
          <w:lang w:val="mk-MK"/>
        </w:rPr>
        <w:t>ен ИКТ сектор кој може да биде партнер во дефинирањето на приоритетите.</w:t>
      </w:r>
    </w:p>
    <w:p w14:paraId="35374137" w14:textId="77777777" w:rsidR="00FE200F" w:rsidRDefault="00FE200F">
      <w:pPr>
        <w:pStyle w:val="Heading3"/>
        <w:jc w:val="both"/>
        <w:rPr>
          <w:rFonts w:ascii="Times New Roman" w:hAnsi="Times New Roman" w:cs="Times New Roman"/>
          <w:color w:val="auto"/>
          <w:lang w:val="mk-MK"/>
        </w:rPr>
      </w:pPr>
    </w:p>
    <w:p w14:paraId="23CDB80C" w14:textId="77777777" w:rsidR="00FE200F" w:rsidRDefault="00E77CAF">
      <w:pPr>
        <w:pStyle w:val="Heading3"/>
        <w:jc w:val="both"/>
        <w:rPr>
          <w:rFonts w:ascii="Times New Roman" w:hAnsi="Times New Roman" w:cs="Times New Roman"/>
          <w:lang w:val="mk-MK"/>
        </w:rPr>
      </w:pPr>
      <w:bookmarkStart w:id="43" w:name="_Toc240630047"/>
      <w:bookmarkStart w:id="44" w:name="_Toc243907990"/>
      <w:r>
        <w:rPr>
          <w:rFonts w:ascii="Times New Roman" w:hAnsi="Times New Roman" w:cs="Times New Roman"/>
          <w:color w:val="auto"/>
          <w:lang w:val="mk-MK"/>
        </w:rPr>
        <w:t>3.4.3 Република Албанија (Брз следбеник – 6.0/10)</w:t>
      </w:r>
      <w:bookmarkEnd w:id="43"/>
      <w:bookmarkEnd w:id="44"/>
    </w:p>
    <w:p w14:paraId="261A5F68"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Албанија претставува можеби најинтересен пример за Македонија: земја со слични почетни услови (земја кандидат, ограничен внатрешен ка</w:t>
      </w:r>
      <w:r>
        <w:rPr>
          <w:rFonts w:ascii="Times New Roman" w:hAnsi="Times New Roman" w:cs="Times New Roman"/>
          <w:color w:val="auto"/>
          <w:lang w:val="mk-MK"/>
        </w:rPr>
        <w:t>пацитет, силна зависност од јавниот сектор) која успеа да го забрза развојот преку стратешко партнерство со меѓународни консултанти и фокусирана политичка волја.</w:t>
      </w:r>
    </w:p>
    <w:p w14:paraId="5CCAD15A" w14:textId="77777777" w:rsidR="00FE200F" w:rsidRDefault="00FE200F">
      <w:pPr>
        <w:jc w:val="both"/>
        <w:rPr>
          <w:rFonts w:ascii="Times New Roman" w:hAnsi="Times New Roman" w:cs="Times New Roman"/>
          <w:b/>
          <w:color w:val="auto"/>
          <w:lang w:val="mk-MK"/>
        </w:rPr>
      </w:pPr>
    </w:p>
    <w:p w14:paraId="6BCE48DA"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 xml:space="preserve">Стратешка рамка: </w:t>
      </w:r>
      <w:r>
        <w:rPr>
          <w:rFonts w:ascii="Times New Roman" w:hAnsi="Times New Roman" w:cs="Times New Roman"/>
          <w:color w:val="auto"/>
          <w:lang w:val="mk-MK"/>
        </w:rPr>
        <w:t xml:space="preserve">Во 2024 година, Албанија разви ВИ стратегија и патоказ во соработка со </w:t>
      </w:r>
      <w:r>
        <w:rPr>
          <w:rFonts w:ascii="Times New Roman" w:hAnsi="Times New Roman" w:cs="Times New Roman"/>
          <w:i/>
          <w:iCs/>
          <w:color w:val="auto"/>
          <w:lang w:val="mk-MK"/>
        </w:rPr>
        <w:t>Inetu</w:t>
      </w:r>
      <w:r>
        <w:rPr>
          <w:rFonts w:ascii="Times New Roman" w:hAnsi="Times New Roman" w:cs="Times New Roman"/>
          <w:i/>
          <w:iCs/>
          <w:color w:val="auto"/>
          <w:lang w:val="mk-MK"/>
        </w:rPr>
        <w:t>m Consulting</w:t>
      </w:r>
      <w:r>
        <w:rPr>
          <w:rFonts w:ascii="Times New Roman" w:hAnsi="Times New Roman" w:cs="Times New Roman"/>
          <w:color w:val="auto"/>
          <w:lang w:val="mk-MK"/>
        </w:rPr>
        <w:t xml:space="preserve">, француска консултантска фирма, во рамките на Меѓувладиниот договор меѓу Албанија и Франција. Патоказот предлага стратешка визија Албанија да стане европски хаб за „зелена вештачка интелигенција“. Три клучни проекти се предложени: ВИ фабрика, </w:t>
      </w:r>
      <w:r>
        <w:rPr>
          <w:rFonts w:ascii="Times New Roman" w:hAnsi="Times New Roman" w:cs="Times New Roman"/>
          <w:color w:val="auto"/>
          <w:lang w:val="mk-MK"/>
        </w:rPr>
        <w:t>Дата хаб за туризам и мобилност, и Комерцијални дата центри. Во јануари 2025 година, патоказот беше презентиран и одобрен од премиерот Еди Рама, по што фокусот се пренесе кон имплементација.</w:t>
      </w:r>
    </w:p>
    <w:p w14:paraId="63CDC742" w14:textId="77777777" w:rsidR="00FE200F" w:rsidRDefault="00FE200F">
      <w:pPr>
        <w:jc w:val="both"/>
        <w:rPr>
          <w:rFonts w:ascii="Times New Roman" w:hAnsi="Times New Roman" w:cs="Times New Roman"/>
          <w:b/>
          <w:color w:val="auto"/>
          <w:lang w:val="mk-MK"/>
        </w:rPr>
      </w:pPr>
    </w:p>
    <w:p w14:paraId="686216C0"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 xml:space="preserve">Институционален капацитет: </w:t>
      </w:r>
      <w:r>
        <w:rPr>
          <w:rFonts w:ascii="Times New Roman" w:hAnsi="Times New Roman" w:cs="Times New Roman"/>
          <w:color w:val="auto"/>
          <w:lang w:val="mk-MK"/>
        </w:rPr>
        <w:t>Националната агенција за информатичко</w:t>
      </w:r>
      <w:r>
        <w:rPr>
          <w:rFonts w:ascii="Times New Roman" w:hAnsi="Times New Roman" w:cs="Times New Roman"/>
          <w:color w:val="auto"/>
          <w:lang w:val="mk-MK"/>
        </w:rPr>
        <w:t xml:space="preserve"> општество (</w:t>
      </w:r>
      <w:r>
        <w:rPr>
          <w:rFonts w:ascii="Times New Roman" w:hAnsi="Times New Roman" w:cs="Times New Roman"/>
          <w:i/>
          <w:iCs/>
          <w:color w:val="auto"/>
          <w:lang w:val="mk-MK"/>
        </w:rPr>
        <w:t>AKSHI</w:t>
      </w:r>
      <w:r>
        <w:rPr>
          <w:rFonts w:ascii="Times New Roman" w:hAnsi="Times New Roman" w:cs="Times New Roman"/>
          <w:color w:val="auto"/>
          <w:lang w:val="mk-MK"/>
        </w:rPr>
        <w:t xml:space="preserve">) е клучниот орган за имплементација. Во септември 2025 година, Албанија привлече светско внимание со назначувањето на „Диела" – ВИ систем развиен од </w:t>
      </w:r>
      <w:r>
        <w:rPr>
          <w:rFonts w:ascii="Times New Roman" w:hAnsi="Times New Roman" w:cs="Times New Roman"/>
          <w:i/>
          <w:iCs/>
          <w:color w:val="auto"/>
          <w:lang w:val="mk-MK"/>
        </w:rPr>
        <w:t>AKSHI</w:t>
      </w:r>
      <w:r>
        <w:rPr>
          <w:rFonts w:ascii="Times New Roman" w:hAnsi="Times New Roman" w:cs="Times New Roman"/>
          <w:color w:val="auto"/>
          <w:lang w:val="mk-MK"/>
        </w:rPr>
        <w:t xml:space="preserve"> – за прв ВИ министер во светот, со задача да се бори против корупцијата во јавните </w:t>
      </w:r>
      <w:r>
        <w:rPr>
          <w:rFonts w:ascii="Times New Roman" w:hAnsi="Times New Roman" w:cs="Times New Roman"/>
          <w:color w:val="auto"/>
          <w:lang w:val="mk-MK"/>
        </w:rPr>
        <w:t xml:space="preserve">набавки. Иако овој потег е контроверзен и предизвика критики поради недостаток на регулаторен надзор, тоа демонстрира политичка волја за брза примена на ВИ во јавниот сектор. Од април 2025 година, </w:t>
      </w:r>
      <w:r>
        <w:rPr>
          <w:rFonts w:ascii="Times New Roman" w:hAnsi="Times New Roman" w:cs="Times New Roman"/>
          <w:i/>
          <w:iCs/>
          <w:color w:val="auto"/>
          <w:lang w:val="mk-MK"/>
        </w:rPr>
        <w:t>Inetum Consulting</w:t>
      </w:r>
      <w:r>
        <w:rPr>
          <w:rFonts w:ascii="Times New Roman" w:hAnsi="Times New Roman" w:cs="Times New Roman"/>
          <w:color w:val="auto"/>
          <w:lang w:val="mk-MK"/>
        </w:rPr>
        <w:t xml:space="preserve"> ја води фазата на имплементација, обезбед</w:t>
      </w:r>
      <w:r>
        <w:rPr>
          <w:rFonts w:ascii="Times New Roman" w:hAnsi="Times New Roman" w:cs="Times New Roman"/>
          <w:color w:val="auto"/>
          <w:lang w:val="mk-MK"/>
        </w:rPr>
        <w:t>увајќи стратешко водство, управување со проекти и техничка експертиза.</w:t>
      </w:r>
    </w:p>
    <w:p w14:paraId="160FB38C" w14:textId="77777777" w:rsidR="00FE200F" w:rsidRDefault="00FE200F">
      <w:pPr>
        <w:jc w:val="both"/>
        <w:rPr>
          <w:rFonts w:ascii="Times New Roman" w:hAnsi="Times New Roman" w:cs="Times New Roman"/>
          <w:b/>
          <w:color w:val="auto"/>
          <w:lang w:val="mk-MK"/>
        </w:rPr>
      </w:pPr>
    </w:p>
    <w:p w14:paraId="7367B5A2"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 xml:space="preserve">ЕУ усогласеност: </w:t>
      </w:r>
      <w:r>
        <w:rPr>
          <w:rFonts w:ascii="Times New Roman" w:hAnsi="Times New Roman" w:cs="Times New Roman"/>
          <w:color w:val="auto"/>
          <w:lang w:val="mk-MK"/>
        </w:rPr>
        <w:t>Платформата е-Албанија е главниот проект за дигитализација на јавните услуги. Таа веќе заштедила над 12 милиони евра и еквивалент на 1.010 години чекање за граѓаните и</w:t>
      </w:r>
      <w:r>
        <w:rPr>
          <w:rFonts w:ascii="Times New Roman" w:hAnsi="Times New Roman" w:cs="Times New Roman"/>
          <w:color w:val="auto"/>
          <w:lang w:val="mk-MK"/>
        </w:rPr>
        <w:t xml:space="preserve"> бизнисите, дигитализирајќи ги речиси сите државни јавни услуги. Усогласувањето со дигиталната агенда на ЕУ е централна цел, а ВИ се гледа како клучен инструмент за забрзување на пристапниот процес. Новата Национална ВИ стратегија 2025–2030 треба да ја деф</w:t>
      </w:r>
      <w:r>
        <w:rPr>
          <w:rFonts w:ascii="Times New Roman" w:hAnsi="Times New Roman" w:cs="Times New Roman"/>
          <w:color w:val="auto"/>
          <w:lang w:val="mk-MK"/>
        </w:rPr>
        <w:t>инира регулаторната рамка и да воспостави механизми за надзор.</w:t>
      </w:r>
    </w:p>
    <w:p w14:paraId="6CAFF565" w14:textId="77777777" w:rsidR="00FE200F" w:rsidRDefault="00FE200F">
      <w:pPr>
        <w:jc w:val="both"/>
        <w:rPr>
          <w:rFonts w:ascii="Times New Roman" w:hAnsi="Times New Roman" w:cs="Times New Roman"/>
          <w:b/>
          <w:color w:val="auto"/>
          <w:lang w:val="mk-MK"/>
        </w:rPr>
      </w:pPr>
    </w:p>
    <w:p w14:paraId="356612F6"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 xml:space="preserve">Инфраструктура и екосистем: </w:t>
      </w:r>
      <w:r>
        <w:rPr>
          <w:rFonts w:ascii="Times New Roman" w:hAnsi="Times New Roman" w:cs="Times New Roman"/>
          <w:color w:val="auto"/>
          <w:lang w:val="mk-MK"/>
        </w:rPr>
        <w:t xml:space="preserve">Клучните меѓуфункционални столбови на патоказот се образованието, регулативата и јавно-приватната соработка. Целта е примена на ВИ во клучните сектори: здравство, </w:t>
      </w:r>
      <w:r>
        <w:rPr>
          <w:rFonts w:ascii="Times New Roman" w:hAnsi="Times New Roman" w:cs="Times New Roman"/>
          <w:color w:val="auto"/>
          <w:lang w:val="mk-MK"/>
        </w:rPr>
        <w:t>земјоделство, јавна администрација и туризам. Фокусот на „Зелена ВИ“ е стратешки избор кој ги искористува природните предности на Албанија (хидроенергија) за привлекување инвестиции во одржливи дата центри.</w:t>
      </w:r>
    </w:p>
    <w:p w14:paraId="27F2372B" w14:textId="77777777" w:rsidR="00FE200F" w:rsidRDefault="00FE200F">
      <w:pPr>
        <w:jc w:val="both"/>
        <w:rPr>
          <w:rFonts w:ascii="Times New Roman" w:hAnsi="Times New Roman" w:cs="Times New Roman"/>
          <w:b/>
          <w:color w:val="auto"/>
          <w:lang w:val="mk-MK"/>
        </w:rPr>
      </w:pPr>
    </w:p>
    <w:p w14:paraId="123B3142"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 xml:space="preserve">Лекции за Северна Македонија: </w:t>
      </w:r>
      <w:r>
        <w:rPr>
          <w:rFonts w:ascii="Times New Roman" w:hAnsi="Times New Roman" w:cs="Times New Roman"/>
          <w:color w:val="auto"/>
          <w:lang w:val="mk-MK"/>
        </w:rPr>
        <w:t>Албанскиот модел е</w:t>
      </w:r>
      <w:r>
        <w:rPr>
          <w:rFonts w:ascii="Times New Roman" w:hAnsi="Times New Roman" w:cs="Times New Roman"/>
          <w:color w:val="auto"/>
          <w:lang w:val="mk-MK"/>
        </w:rPr>
        <w:t xml:space="preserve"> директно применлив. Тој покажува дека земја со ограничен внатрешен капацитет може брзо да напредува преку:</w:t>
      </w:r>
    </w:p>
    <w:p w14:paraId="03DD7324"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(1) јасна политичка волја на највисоко ниво,</w:t>
      </w:r>
    </w:p>
    <w:p w14:paraId="6196EE76"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(2) стратешко партнерство со меѓународни консултанти за трансфер на знаење, и</w:t>
      </w:r>
    </w:p>
    <w:p w14:paraId="76472285"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(3) фокусирање на </w:t>
      </w:r>
      <w:r>
        <w:rPr>
          <w:rFonts w:ascii="Times New Roman" w:hAnsi="Times New Roman" w:cs="Times New Roman"/>
          <w:color w:val="auto"/>
          <w:lang w:val="mk-MK"/>
        </w:rPr>
        <w:t>конкретни, мерливи резултати (е-услуги, заштеди за граѓаните). Македонија може да го следи овој модел, особено во делот на дигитализација на јавните услуги преку ВИ.</w:t>
      </w:r>
    </w:p>
    <w:p w14:paraId="2204399C" w14:textId="77777777" w:rsidR="00FE200F" w:rsidRDefault="00FE200F">
      <w:pPr>
        <w:pStyle w:val="Heading3"/>
        <w:jc w:val="both"/>
        <w:rPr>
          <w:rFonts w:ascii="Times New Roman" w:hAnsi="Times New Roman" w:cs="Times New Roman"/>
          <w:color w:val="auto"/>
          <w:lang w:val="mk-MK"/>
        </w:rPr>
      </w:pPr>
    </w:p>
    <w:p w14:paraId="1722E1BA" w14:textId="77777777" w:rsidR="00FE200F" w:rsidRDefault="00E77CAF">
      <w:pPr>
        <w:pStyle w:val="Heading3"/>
        <w:jc w:val="both"/>
        <w:rPr>
          <w:rFonts w:ascii="Times New Roman" w:hAnsi="Times New Roman" w:cs="Times New Roman"/>
          <w:lang w:val="mk-MK"/>
        </w:rPr>
      </w:pPr>
      <w:bookmarkStart w:id="45" w:name="_Toc240630048"/>
      <w:bookmarkStart w:id="46" w:name="_Toc243907991"/>
      <w:r>
        <w:rPr>
          <w:rFonts w:ascii="Times New Roman" w:hAnsi="Times New Roman" w:cs="Times New Roman"/>
          <w:color w:val="auto"/>
          <w:lang w:val="mk-MK"/>
        </w:rPr>
        <w:t>3.4.4 Косово и Босна и Херцеговина (Почетна фаза)</w:t>
      </w:r>
      <w:bookmarkEnd w:id="45"/>
      <w:bookmarkEnd w:id="46"/>
    </w:p>
    <w:p w14:paraId="303A5E0F"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Овие две економии се соочуваат со најго</w:t>
      </w:r>
      <w:r>
        <w:rPr>
          <w:rFonts w:ascii="Times New Roman" w:hAnsi="Times New Roman" w:cs="Times New Roman"/>
          <w:color w:val="auto"/>
          <w:lang w:val="mk-MK"/>
        </w:rPr>
        <w:t>леми предизвици во дигиталната трансформација и развојот на ВИ, но нивните искуства нудат важни поуки за избегнување на грешки и за приоритизација на ресурсите. Нивниот пример покажува дека отсуството на стратешка рамка и институционален капацитет може сер</w:t>
      </w:r>
      <w:r>
        <w:rPr>
          <w:rFonts w:ascii="Times New Roman" w:hAnsi="Times New Roman" w:cs="Times New Roman"/>
          <w:color w:val="auto"/>
          <w:lang w:val="mk-MK"/>
        </w:rPr>
        <w:t>иозно да го забави развојот, дури и кога постои добра дигитална инфраструктура.</w:t>
      </w:r>
    </w:p>
    <w:p w14:paraId="4A3735D9" w14:textId="77777777" w:rsidR="00FE200F" w:rsidRDefault="00FE200F">
      <w:pPr>
        <w:jc w:val="both"/>
        <w:rPr>
          <w:rFonts w:ascii="Times New Roman" w:hAnsi="Times New Roman" w:cs="Times New Roman"/>
          <w:b/>
          <w:color w:val="auto"/>
          <w:lang w:val="mk-MK"/>
        </w:rPr>
      </w:pPr>
    </w:p>
    <w:p w14:paraId="43199BDA"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 xml:space="preserve">Косово (2.5/10): </w:t>
      </w:r>
      <w:r>
        <w:rPr>
          <w:rFonts w:ascii="Times New Roman" w:hAnsi="Times New Roman" w:cs="Times New Roman"/>
          <w:color w:val="auto"/>
          <w:lang w:val="mk-MK"/>
        </w:rPr>
        <w:t>Иако Косово има највисока стапка на користење интернет во регионот (96,8%), само 10% од јавните услуги се дигитализирани. Ова укажува дека инфраструктурата са</w:t>
      </w:r>
      <w:r>
        <w:rPr>
          <w:rFonts w:ascii="Times New Roman" w:hAnsi="Times New Roman" w:cs="Times New Roman"/>
          <w:color w:val="auto"/>
          <w:lang w:val="mk-MK"/>
        </w:rPr>
        <w:t xml:space="preserve">ма по себе не е доволна без стратешки фокус на дигитализација на услугите. Косово нема национална ВИ стратегија, но </w:t>
      </w:r>
      <w:r>
        <w:rPr>
          <w:rFonts w:ascii="Times New Roman" w:hAnsi="Times New Roman" w:cs="Times New Roman"/>
          <w:i/>
          <w:iCs/>
          <w:color w:val="auto"/>
          <w:lang w:val="mk-MK"/>
        </w:rPr>
        <w:t>GIZ</w:t>
      </w:r>
      <w:r>
        <w:rPr>
          <w:rFonts w:ascii="Times New Roman" w:hAnsi="Times New Roman" w:cs="Times New Roman"/>
          <w:color w:val="auto"/>
          <w:lang w:val="mk-MK"/>
        </w:rPr>
        <w:t xml:space="preserve"> спроведе проценка на подготвеноста за ЕУ Актот за ВИ во 2024 година. Позитивен чекор е ажурирањето на законот за заштита на лични подато</w:t>
      </w:r>
      <w:r>
        <w:rPr>
          <w:rFonts w:ascii="Times New Roman" w:hAnsi="Times New Roman" w:cs="Times New Roman"/>
          <w:color w:val="auto"/>
          <w:lang w:val="mk-MK"/>
        </w:rPr>
        <w:t xml:space="preserve">ци за усогласување со </w:t>
      </w:r>
      <w:r>
        <w:rPr>
          <w:rFonts w:ascii="Times New Roman" w:hAnsi="Times New Roman" w:cs="Times New Roman"/>
          <w:i/>
          <w:iCs/>
          <w:color w:val="auto"/>
          <w:lang w:val="mk-MK"/>
        </w:rPr>
        <w:t>GDPR</w:t>
      </w:r>
      <w:r>
        <w:rPr>
          <w:rFonts w:ascii="Times New Roman" w:hAnsi="Times New Roman" w:cs="Times New Roman"/>
          <w:color w:val="auto"/>
          <w:lang w:val="mk-MK"/>
        </w:rPr>
        <w:t>.</w:t>
      </w:r>
    </w:p>
    <w:p w14:paraId="487CC1C0" w14:textId="77777777" w:rsidR="00FE200F" w:rsidRDefault="00FE200F">
      <w:pPr>
        <w:jc w:val="both"/>
        <w:rPr>
          <w:rFonts w:ascii="Times New Roman" w:hAnsi="Times New Roman" w:cs="Times New Roman"/>
          <w:b/>
          <w:color w:val="auto"/>
          <w:lang w:val="mk-MK"/>
        </w:rPr>
      </w:pPr>
    </w:p>
    <w:p w14:paraId="7521CE7E"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 xml:space="preserve">Босна и Херцеговина (2.0/10): </w:t>
      </w:r>
      <w:r>
        <w:rPr>
          <w:rFonts w:ascii="Times New Roman" w:hAnsi="Times New Roman" w:cs="Times New Roman"/>
          <w:color w:val="auto"/>
          <w:lang w:val="mk-MK"/>
        </w:rPr>
        <w:t xml:space="preserve">БиХ има најнизок резултат за дигитална трансформација во регионот и нема национален портал за е-услуги. Сложената ентитетска структура (Федерација БиХ, Република Српска, Округот Брчко) го отежнува </w:t>
      </w:r>
      <w:r>
        <w:rPr>
          <w:rFonts w:ascii="Times New Roman" w:hAnsi="Times New Roman" w:cs="Times New Roman"/>
          <w:color w:val="auto"/>
          <w:lang w:val="mk-MK"/>
        </w:rPr>
        <w:t>координираниот развој на дигитални политики. Регулаторната рамка за ВИ е оскудна, а недостатокот на кохерентна стратегија за дигитална трансформација го забавува напредокот. Сепак, БиХ ја потпиша Рамковната конвенција на Советот на Европа за ВИ (</w:t>
      </w:r>
      <w:r>
        <w:rPr>
          <w:rFonts w:ascii="Times New Roman" w:hAnsi="Times New Roman" w:cs="Times New Roman"/>
          <w:i/>
          <w:iCs/>
          <w:color w:val="auto"/>
          <w:lang w:val="mk-MK"/>
        </w:rPr>
        <w:t>CETS No</w:t>
      </w:r>
      <w:r>
        <w:rPr>
          <w:rFonts w:ascii="Times New Roman" w:hAnsi="Times New Roman" w:cs="Times New Roman"/>
          <w:color w:val="auto"/>
          <w:lang w:val="mk-MK"/>
        </w:rPr>
        <w:t>. 2</w:t>
      </w:r>
      <w:r>
        <w:rPr>
          <w:rFonts w:ascii="Times New Roman" w:hAnsi="Times New Roman" w:cs="Times New Roman"/>
          <w:color w:val="auto"/>
          <w:lang w:val="mk-MK"/>
        </w:rPr>
        <w:t>25), што претставува позитивен сигнал за иднината.</w:t>
      </w:r>
    </w:p>
    <w:p w14:paraId="2CFBBF9F" w14:textId="77777777" w:rsidR="00FE200F" w:rsidRDefault="00FE200F">
      <w:pPr>
        <w:jc w:val="both"/>
        <w:rPr>
          <w:rFonts w:ascii="Times New Roman" w:hAnsi="Times New Roman" w:cs="Times New Roman"/>
          <w:color w:val="auto"/>
          <w:lang w:val="mk-MK"/>
        </w:rPr>
      </w:pPr>
    </w:p>
    <w:p w14:paraId="50F2F660" w14:textId="77777777" w:rsidR="00FE200F" w:rsidRDefault="00E77CAF">
      <w:pPr>
        <w:pStyle w:val="Heading3"/>
        <w:jc w:val="both"/>
        <w:rPr>
          <w:rFonts w:ascii="Times New Roman" w:hAnsi="Times New Roman" w:cs="Times New Roman"/>
          <w:lang w:val="mk-MK"/>
        </w:rPr>
      </w:pPr>
      <w:bookmarkStart w:id="47" w:name="_Toc240630049"/>
      <w:bookmarkStart w:id="48" w:name="_Toc243907992"/>
      <w:r>
        <w:rPr>
          <w:rFonts w:ascii="Times New Roman" w:hAnsi="Times New Roman" w:cs="Times New Roman"/>
          <w:color w:val="auto"/>
          <w:lang w:val="mk-MK"/>
        </w:rPr>
        <w:t>3.4.5 Компаративен статус на ВИ стратегиите во регионот</w:t>
      </w:r>
      <w:bookmarkEnd w:id="47"/>
      <w:bookmarkEnd w:id="48"/>
    </w:p>
    <w:p w14:paraId="13E2A2E2"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Следната табела го прикажува компаративниот статус на националните ВИ стратегии и клучните индикатори за шесте земји од регионот, врз основа на ОЕЦД</w:t>
      </w:r>
      <w:r>
        <w:rPr>
          <w:rFonts w:ascii="Times New Roman" w:hAnsi="Times New Roman" w:cs="Times New Roman"/>
          <w:color w:val="auto"/>
          <w:lang w:val="mk-MK"/>
        </w:rPr>
        <w:t xml:space="preserve"> </w:t>
      </w:r>
      <w:r>
        <w:rPr>
          <w:rFonts w:ascii="Times New Roman" w:hAnsi="Times New Roman" w:cs="Times New Roman"/>
          <w:i/>
          <w:iCs/>
          <w:color w:val="auto"/>
          <w:lang w:val="mk-MK"/>
        </w:rPr>
        <w:t xml:space="preserve">Scoreboard </w:t>
      </w:r>
      <w:r>
        <w:rPr>
          <w:rFonts w:ascii="Times New Roman" w:hAnsi="Times New Roman" w:cs="Times New Roman"/>
          <w:color w:val="auto"/>
          <w:lang w:val="mk-MK"/>
        </w:rPr>
        <w:t>2025, национални стратешки документи и Методологијата за проценка на ВИ зрелост развиена за оваа анализа:</w:t>
      </w:r>
    </w:p>
    <w:p w14:paraId="788F820D" w14:textId="77777777" w:rsidR="00FE200F" w:rsidRDefault="00FE200F">
      <w:pPr>
        <w:jc w:val="both"/>
        <w:rPr>
          <w:rFonts w:ascii="Times New Roman" w:hAnsi="Times New Roman" w:cs="Times New Roman"/>
          <w:color w:val="auto"/>
          <w:lang w:val="mk-MK"/>
        </w:rPr>
      </w:pPr>
    </w:p>
    <w:tbl>
      <w:tblPr>
        <w:tblStyle w:val="GridTable5Dark-Accent5"/>
        <w:tblW w:w="10774" w:type="dxa"/>
        <w:tblInd w:w="-998" w:type="dxa"/>
        <w:shd w:val="clear" w:color="auto" w:fill="DAEEF3"/>
        <w:tblLayout w:type="fixed"/>
        <w:tblLook w:val="04A0" w:firstRow="1" w:lastRow="0" w:firstColumn="1" w:lastColumn="0" w:noHBand="0" w:noVBand="1"/>
      </w:tblPr>
      <w:tblGrid>
        <w:gridCol w:w="1649"/>
        <w:gridCol w:w="2321"/>
        <w:gridCol w:w="2410"/>
        <w:gridCol w:w="3162"/>
        <w:gridCol w:w="1232"/>
      </w:tblGrid>
      <w:tr w:rsidR="00FE200F" w14:paraId="0971F80A" w14:textId="77777777" w:rsidTr="00FE20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9" w:type="dxa"/>
          </w:tcPr>
          <w:p w14:paraId="347D37A4"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Држава</w:t>
            </w:r>
          </w:p>
        </w:tc>
        <w:tc>
          <w:tcPr>
            <w:tcW w:w="2321" w:type="dxa"/>
            <w:tcBorders>
              <w:bottom w:val="nil"/>
            </w:tcBorders>
          </w:tcPr>
          <w:p w14:paraId="42CC5F47" w14:textId="77777777" w:rsidR="00FE200F" w:rsidRDefault="00E77CA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Статус на ВИ Стратегија</w:t>
            </w:r>
          </w:p>
        </w:tc>
        <w:tc>
          <w:tcPr>
            <w:tcW w:w="2410" w:type="dxa"/>
            <w:tcBorders>
              <w:bottom w:val="nil"/>
            </w:tcBorders>
          </w:tcPr>
          <w:p w14:paraId="356FF252" w14:textId="77777777" w:rsidR="00FE200F" w:rsidRDefault="00E77CA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Институционална рамка</w:t>
            </w:r>
          </w:p>
        </w:tc>
        <w:tc>
          <w:tcPr>
            <w:tcW w:w="3162" w:type="dxa"/>
            <w:tcBorders>
              <w:bottom w:val="nil"/>
            </w:tcBorders>
          </w:tcPr>
          <w:p w14:paraId="22B0113A" w14:textId="77777777" w:rsidR="00FE200F" w:rsidRDefault="00E77CA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Клучни иницијативи</w:t>
            </w:r>
          </w:p>
        </w:tc>
        <w:tc>
          <w:tcPr>
            <w:tcW w:w="1232" w:type="dxa"/>
            <w:tcBorders>
              <w:bottom w:val="nil"/>
            </w:tcBorders>
          </w:tcPr>
          <w:p w14:paraId="5791A4F4" w14:textId="77777777" w:rsidR="00FE200F" w:rsidRDefault="00E77CA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Оценка (1-10)</w:t>
            </w:r>
          </w:p>
        </w:tc>
      </w:tr>
      <w:tr w:rsidR="00FE200F" w14:paraId="1AF3952E"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9" w:type="dxa"/>
            <w:tcBorders>
              <w:right w:val="nil"/>
            </w:tcBorders>
          </w:tcPr>
          <w:p w14:paraId="74455179"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Србија</w:t>
            </w:r>
          </w:p>
        </w:tc>
        <w:tc>
          <w:tcPr>
            <w:tcW w:w="2321" w:type="dxa"/>
          </w:tcPr>
          <w:p w14:paraId="225397DA"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 xml:space="preserve">Усвоена (2019–2025); Нова (2025–2030) </w:t>
            </w:r>
            <w:r>
              <w:rPr>
                <w:rFonts w:ascii="Times New Roman" w:hAnsi="Times New Roman" w:cs="Times New Roman"/>
                <w:color w:val="auto"/>
                <w:lang w:val="mk-MK"/>
              </w:rPr>
              <w:t>усвоена во јануари 2025</w:t>
            </w:r>
          </w:p>
        </w:tc>
        <w:tc>
          <w:tcPr>
            <w:tcW w:w="2410" w:type="dxa"/>
          </w:tcPr>
          <w:p w14:paraId="7BF55AA3"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 xml:space="preserve">Институт за ВИ (ИВИ, Нови Сад); Канцеларија за ИТ и е-Управа; </w:t>
            </w:r>
            <w:r>
              <w:rPr>
                <w:rFonts w:ascii="Times New Roman" w:hAnsi="Times New Roman" w:cs="Times New Roman"/>
                <w:i/>
                <w:iCs/>
                <w:color w:val="auto"/>
                <w:lang w:val="mk-MK"/>
              </w:rPr>
              <w:t>S4AI_HUB (EDIH)</w:t>
            </w:r>
          </w:p>
        </w:tc>
        <w:tc>
          <w:tcPr>
            <w:tcW w:w="3162" w:type="dxa"/>
          </w:tcPr>
          <w:p w14:paraId="0EA31442"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 xml:space="preserve">Национална суперкомпјутерска платформа; Претседавање со </w:t>
            </w:r>
            <w:r>
              <w:rPr>
                <w:rFonts w:ascii="Times New Roman" w:hAnsi="Times New Roman" w:cs="Times New Roman"/>
                <w:i/>
                <w:iCs/>
                <w:color w:val="auto"/>
                <w:lang w:val="mk-MK"/>
              </w:rPr>
              <w:t>GPAI</w:t>
            </w:r>
            <w:r>
              <w:rPr>
                <w:rFonts w:ascii="Times New Roman" w:hAnsi="Times New Roman" w:cs="Times New Roman"/>
                <w:color w:val="auto"/>
                <w:lang w:val="mk-MK"/>
              </w:rPr>
              <w:t xml:space="preserve"> (2024–2025); Самит на </w:t>
            </w:r>
            <w:r>
              <w:rPr>
                <w:rFonts w:ascii="Times New Roman" w:hAnsi="Times New Roman" w:cs="Times New Roman"/>
                <w:i/>
                <w:iCs/>
                <w:color w:val="auto"/>
                <w:lang w:val="mk-MK"/>
              </w:rPr>
              <w:t>GPAI</w:t>
            </w:r>
            <w:r>
              <w:rPr>
                <w:rFonts w:ascii="Times New Roman" w:hAnsi="Times New Roman" w:cs="Times New Roman"/>
                <w:color w:val="auto"/>
                <w:lang w:val="mk-MK"/>
              </w:rPr>
              <w:t xml:space="preserve"> во Белград (декември 2024)</w:t>
            </w:r>
          </w:p>
        </w:tc>
        <w:tc>
          <w:tcPr>
            <w:tcW w:w="1232" w:type="dxa"/>
          </w:tcPr>
          <w:p w14:paraId="214CD0D1"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7.5 / 10</w:t>
            </w:r>
          </w:p>
        </w:tc>
      </w:tr>
      <w:tr w:rsidR="00FE200F" w14:paraId="78450ED6" w14:textId="77777777" w:rsidTr="00FE200F">
        <w:tc>
          <w:tcPr>
            <w:cnfStyle w:val="001000000000" w:firstRow="0" w:lastRow="0" w:firstColumn="1" w:lastColumn="0" w:oddVBand="0" w:evenVBand="0" w:oddHBand="0" w:evenHBand="0" w:firstRowFirstColumn="0" w:firstRowLastColumn="0" w:lastRowFirstColumn="0" w:lastRowLastColumn="0"/>
            <w:tcW w:w="1649" w:type="dxa"/>
            <w:tcBorders>
              <w:right w:val="nil"/>
            </w:tcBorders>
          </w:tcPr>
          <w:p w14:paraId="0DAEC27B"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Хрватска</w:t>
            </w:r>
          </w:p>
        </w:tc>
        <w:tc>
          <w:tcPr>
            <w:tcW w:w="2321" w:type="dxa"/>
          </w:tcPr>
          <w:p w14:paraId="0467A814"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 xml:space="preserve">Во изработка (Национален план до </w:t>
            </w:r>
            <w:r>
              <w:rPr>
                <w:rFonts w:ascii="Times New Roman" w:hAnsi="Times New Roman" w:cs="Times New Roman"/>
                <w:color w:val="auto"/>
                <w:lang w:val="mk-MK"/>
              </w:rPr>
              <w:lastRenderedPageBreak/>
              <w:t>2032, Акциски план 2026–2028)</w:t>
            </w:r>
          </w:p>
        </w:tc>
        <w:tc>
          <w:tcPr>
            <w:tcW w:w="2410" w:type="dxa"/>
          </w:tcPr>
          <w:p w14:paraId="17A7AE02"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i/>
                <w:iCs/>
                <w:color w:val="auto"/>
                <w:lang w:val="mk-MK"/>
              </w:rPr>
              <w:lastRenderedPageBreak/>
              <w:t xml:space="preserve">MPUDT; HAKOM; AZOP; AI4Health.Cro </w:t>
            </w:r>
            <w:r>
              <w:rPr>
                <w:rFonts w:ascii="Times New Roman" w:hAnsi="Times New Roman" w:cs="Times New Roman"/>
                <w:color w:val="auto"/>
                <w:lang w:val="mk-MK"/>
              </w:rPr>
              <w:t>конзорциум</w:t>
            </w:r>
          </w:p>
        </w:tc>
        <w:tc>
          <w:tcPr>
            <w:tcW w:w="3162" w:type="dxa"/>
          </w:tcPr>
          <w:p w14:paraId="16CB32AF"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 xml:space="preserve">Директна примена на ЕУ Актот за ВИ; Силна стартап сцена </w:t>
            </w:r>
            <w:r>
              <w:rPr>
                <w:rFonts w:ascii="Times New Roman" w:hAnsi="Times New Roman" w:cs="Times New Roman"/>
                <w:i/>
                <w:iCs/>
                <w:color w:val="auto"/>
                <w:lang w:val="mk-MK"/>
              </w:rPr>
              <w:lastRenderedPageBreak/>
              <w:t>(Infobip, Rimac, Photomath); EDP</w:t>
            </w:r>
            <w:r>
              <w:rPr>
                <w:rFonts w:ascii="Times New Roman" w:hAnsi="Times New Roman" w:cs="Times New Roman"/>
                <w:color w:val="auto"/>
                <w:lang w:val="mk-MK"/>
              </w:rPr>
              <w:t xml:space="preserve"> процес</w:t>
            </w:r>
          </w:p>
        </w:tc>
        <w:tc>
          <w:tcPr>
            <w:tcW w:w="1232" w:type="dxa"/>
          </w:tcPr>
          <w:p w14:paraId="0C6420A5"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lastRenderedPageBreak/>
              <w:t>7.0 / 10</w:t>
            </w:r>
          </w:p>
        </w:tc>
      </w:tr>
      <w:tr w:rsidR="00FE200F" w14:paraId="6B3D41F1"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9" w:type="dxa"/>
            <w:tcBorders>
              <w:right w:val="nil"/>
            </w:tcBorders>
          </w:tcPr>
          <w:p w14:paraId="0C573117"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lastRenderedPageBreak/>
              <w:t>Албанија</w:t>
            </w:r>
          </w:p>
        </w:tc>
        <w:tc>
          <w:tcPr>
            <w:tcW w:w="2321" w:type="dxa"/>
          </w:tcPr>
          <w:p w14:paraId="0802F0E3"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 xml:space="preserve">Усвоена (2023–2027); Нова </w:t>
            </w:r>
            <w:r>
              <w:rPr>
                <w:rFonts w:ascii="Times New Roman" w:hAnsi="Times New Roman" w:cs="Times New Roman"/>
                <w:color w:val="auto"/>
                <w:lang w:val="mk-MK"/>
              </w:rPr>
              <w:t>стратегија 2028–2030 во подготовка</w:t>
            </w:r>
          </w:p>
        </w:tc>
        <w:tc>
          <w:tcPr>
            <w:tcW w:w="2410" w:type="dxa"/>
          </w:tcPr>
          <w:p w14:paraId="73DFEA69"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i/>
                <w:iCs/>
                <w:color w:val="auto"/>
                <w:lang w:val="mk-MK"/>
              </w:rPr>
              <w:t>AKSHI</w:t>
            </w:r>
            <w:r>
              <w:rPr>
                <w:rFonts w:ascii="Times New Roman" w:hAnsi="Times New Roman" w:cs="Times New Roman"/>
                <w:color w:val="auto"/>
                <w:lang w:val="mk-MK"/>
              </w:rPr>
              <w:t xml:space="preserve"> (Национална агенција за информатичко општество); </w:t>
            </w:r>
            <w:r>
              <w:rPr>
                <w:rFonts w:ascii="Times New Roman" w:hAnsi="Times New Roman" w:cs="Times New Roman"/>
                <w:i/>
                <w:iCs/>
                <w:color w:val="auto"/>
                <w:lang w:val="mk-MK"/>
              </w:rPr>
              <w:t xml:space="preserve">Inetum Consulting </w:t>
            </w:r>
            <w:r>
              <w:rPr>
                <w:rFonts w:ascii="Times New Roman" w:hAnsi="Times New Roman" w:cs="Times New Roman"/>
                <w:color w:val="auto"/>
                <w:lang w:val="mk-MK"/>
              </w:rPr>
              <w:t>(имплементација)</w:t>
            </w:r>
          </w:p>
        </w:tc>
        <w:tc>
          <w:tcPr>
            <w:tcW w:w="3162" w:type="dxa"/>
          </w:tcPr>
          <w:p w14:paraId="7030B5F4"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е-Албанија: 12+ милиони евра заштеди, 1.010 години чекање елиминирани; „Диела" – прв ВИ министер во светот (2025); Визија „Зелена В</w:t>
            </w:r>
            <w:r>
              <w:rPr>
                <w:rFonts w:ascii="Times New Roman" w:hAnsi="Times New Roman" w:cs="Times New Roman"/>
                <w:color w:val="auto"/>
                <w:lang w:val="mk-MK"/>
              </w:rPr>
              <w:t>И"</w:t>
            </w:r>
          </w:p>
        </w:tc>
        <w:tc>
          <w:tcPr>
            <w:tcW w:w="1232" w:type="dxa"/>
          </w:tcPr>
          <w:p w14:paraId="17C13C91"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6.0 / 10</w:t>
            </w:r>
          </w:p>
        </w:tc>
      </w:tr>
      <w:tr w:rsidR="00FE200F" w14:paraId="2EBE761F" w14:textId="77777777" w:rsidTr="00FE200F">
        <w:tc>
          <w:tcPr>
            <w:cnfStyle w:val="001000000000" w:firstRow="0" w:lastRow="0" w:firstColumn="1" w:lastColumn="0" w:oddVBand="0" w:evenVBand="0" w:oddHBand="0" w:evenHBand="0" w:firstRowFirstColumn="0" w:firstRowLastColumn="0" w:lastRowFirstColumn="0" w:lastRowLastColumn="0"/>
            <w:tcW w:w="1649" w:type="dxa"/>
            <w:tcBorders>
              <w:right w:val="nil"/>
            </w:tcBorders>
          </w:tcPr>
          <w:p w14:paraId="2817AE64"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Северна Македонија</w:t>
            </w:r>
          </w:p>
        </w:tc>
        <w:tc>
          <w:tcPr>
            <w:tcW w:w="2321" w:type="dxa"/>
          </w:tcPr>
          <w:p w14:paraId="2F8A0520"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Нема посветена стратегија (во почетна фаза, 2026)</w:t>
            </w:r>
          </w:p>
        </w:tc>
        <w:tc>
          <w:tcPr>
            <w:tcW w:w="2410" w:type="dxa"/>
          </w:tcPr>
          <w:p w14:paraId="5CF36B73"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Министерство за дигитална трансформација (ограничен мандат за ВИ); МКД-ЦИРТ, ИНОФЕИТ ЕДИХ ХАБОВИ, ДИГИТМАК ХАБ</w:t>
            </w:r>
          </w:p>
        </w:tc>
        <w:tc>
          <w:tcPr>
            <w:tcW w:w="3162" w:type="dxa"/>
          </w:tcPr>
          <w:p w14:paraId="016DF7EB"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 xml:space="preserve">СМАРТ/МК 2030; формирана работна група (2026); потреба од </w:t>
            </w:r>
            <w:r>
              <w:rPr>
                <w:rFonts w:ascii="Times New Roman" w:hAnsi="Times New Roman" w:cs="Times New Roman"/>
                <w:color w:val="auto"/>
                <w:lang w:val="mk-MK"/>
              </w:rPr>
              <w:t>проверливо следење на јавните ВИ пилоти и резултати.</w:t>
            </w:r>
          </w:p>
        </w:tc>
        <w:tc>
          <w:tcPr>
            <w:tcW w:w="1232" w:type="dxa"/>
          </w:tcPr>
          <w:p w14:paraId="72CC9D61"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3.5 / 10 (илустративна авторска оценка; методологијата и изворите се наведуваат во прилогот)</w:t>
            </w:r>
          </w:p>
        </w:tc>
      </w:tr>
      <w:tr w:rsidR="00FE200F" w14:paraId="3C9A6795"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9" w:type="dxa"/>
            <w:tcBorders>
              <w:right w:val="nil"/>
            </w:tcBorders>
          </w:tcPr>
          <w:p w14:paraId="5BC64712"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Косово</w:t>
            </w:r>
          </w:p>
        </w:tc>
        <w:tc>
          <w:tcPr>
            <w:tcW w:w="2321" w:type="dxa"/>
          </w:tcPr>
          <w:p w14:paraId="60A16623"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Нема национална ВИ стратегија</w:t>
            </w:r>
          </w:p>
        </w:tc>
        <w:tc>
          <w:tcPr>
            <w:tcW w:w="2410" w:type="dxa"/>
          </w:tcPr>
          <w:p w14:paraId="2AD83C6F"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 xml:space="preserve">Министерство за економија; </w:t>
            </w:r>
            <w:r>
              <w:rPr>
                <w:rFonts w:ascii="Times New Roman" w:hAnsi="Times New Roman" w:cs="Times New Roman"/>
                <w:i/>
                <w:iCs/>
                <w:color w:val="auto"/>
                <w:lang w:val="mk-MK"/>
              </w:rPr>
              <w:t>GDPR</w:t>
            </w:r>
            <w:r>
              <w:rPr>
                <w:rFonts w:ascii="Times New Roman" w:hAnsi="Times New Roman" w:cs="Times New Roman"/>
                <w:color w:val="auto"/>
                <w:lang w:val="mk-MK"/>
              </w:rPr>
              <w:t>-усогласена заштита на лични податоци (20</w:t>
            </w:r>
            <w:r>
              <w:rPr>
                <w:rFonts w:ascii="Times New Roman" w:hAnsi="Times New Roman" w:cs="Times New Roman"/>
                <w:color w:val="auto"/>
                <w:lang w:val="mk-MK"/>
              </w:rPr>
              <w:t>24)</w:t>
            </w:r>
          </w:p>
        </w:tc>
        <w:tc>
          <w:tcPr>
            <w:tcW w:w="3162" w:type="dxa"/>
          </w:tcPr>
          <w:p w14:paraId="4493417F"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 xml:space="preserve">Највисока стапка на интернет пенетрација во регионот (96,8%); само 10% дигитализирани јавни услуги; </w:t>
            </w:r>
            <w:r>
              <w:rPr>
                <w:rFonts w:ascii="Times New Roman" w:hAnsi="Times New Roman" w:cs="Times New Roman"/>
                <w:i/>
                <w:iCs/>
                <w:color w:val="auto"/>
                <w:lang w:val="mk-MK"/>
              </w:rPr>
              <w:t>GIZ</w:t>
            </w:r>
            <w:r>
              <w:rPr>
                <w:rFonts w:ascii="Times New Roman" w:hAnsi="Times New Roman" w:cs="Times New Roman"/>
                <w:color w:val="auto"/>
                <w:lang w:val="mk-MK"/>
              </w:rPr>
              <w:t xml:space="preserve"> проценка на подготвеност за ЕУ </w:t>
            </w:r>
            <w:r>
              <w:rPr>
                <w:rFonts w:ascii="Times New Roman" w:hAnsi="Times New Roman" w:cs="Times New Roman"/>
                <w:i/>
                <w:iCs/>
                <w:color w:val="auto"/>
                <w:lang w:val="mk-MK"/>
              </w:rPr>
              <w:t>AI Act</w:t>
            </w:r>
            <w:r>
              <w:rPr>
                <w:rFonts w:ascii="Times New Roman" w:hAnsi="Times New Roman" w:cs="Times New Roman"/>
                <w:color w:val="auto"/>
                <w:lang w:val="mk-MK"/>
              </w:rPr>
              <w:t xml:space="preserve"> (2024)</w:t>
            </w:r>
          </w:p>
        </w:tc>
        <w:tc>
          <w:tcPr>
            <w:tcW w:w="1232" w:type="dxa"/>
          </w:tcPr>
          <w:p w14:paraId="60447070"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2.5 / 10</w:t>
            </w:r>
          </w:p>
        </w:tc>
      </w:tr>
      <w:tr w:rsidR="00FE200F" w14:paraId="07DCB2D6" w14:textId="77777777" w:rsidTr="00FE200F">
        <w:tc>
          <w:tcPr>
            <w:cnfStyle w:val="001000000000" w:firstRow="0" w:lastRow="0" w:firstColumn="1" w:lastColumn="0" w:oddVBand="0" w:evenVBand="0" w:oddHBand="0" w:evenHBand="0" w:firstRowFirstColumn="0" w:firstRowLastColumn="0" w:lastRowFirstColumn="0" w:lastRowLastColumn="0"/>
            <w:tcW w:w="1649" w:type="dxa"/>
            <w:tcBorders>
              <w:right w:val="nil"/>
            </w:tcBorders>
          </w:tcPr>
          <w:p w14:paraId="0A849261"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БиХ</w:t>
            </w:r>
          </w:p>
        </w:tc>
        <w:tc>
          <w:tcPr>
            <w:tcW w:w="2321" w:type="dxa"/>
          </w:tcPr>
          <w:p w14:paraId="1AF03F26"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Нема стратегија; фрагментирана ентитетска структура</w:t>
            </w:r>
          </w:p>
        </w:tc>
        <w:tc>
          <w:tcPr>
            <w:tcW w:w="2410" w:type="dxa"/>
          </w:tcPr>
          <w:p w14:paraId="0DB35938"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Комплексна ентитетска структура (ФБиХ</w:t>
            </w:r>
            <w:r>
              <w:rPr>
                <w:rFonts w:ascii="Times New Roman" w:hAnsi="Times New Roman" w:cs="Times New Roman"/>
                <w:color w:val="auto"/>
                <w:lang w:val="mk-MK"/>
              </w:rPr>
              <w:t>, РС, Брчко); нема национален е-портал</w:t>
            </w:r>
          </w:p>
        </w:tc>
        <w:tc>
          <w:tcPr>
            <w:tcW w:w="3162" w:type="dxa"/>
          </w:tcPr>
          <w:p w14:paraId="3472669A"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Потпишана Рамковна конвенција на СЕ за ВИ (</w:t>
            </w:r>
            <w:r>
              <w:rPr>
                <w:rFonts w:ascii="Times New Roman" w:hAnsi="Times New Roman" w:cs="Times New Roman"/>
                <w:i/>
                <w:iCs/>
                <w:color w:val="auto"/>
                <w:lang w:val="mk-MK"/>
              </w:rPr>
              <w:t>CETS No. 225</w:t>
            </w:r>
            <w:r>
              <w:rPr>
                <w:rFonts w:ascii="Times New Roman" w:hAnsi="Times New Roman" w:cs="Times New Roman"/>
                <w:color w:val="auto"/>
                <w:lang w:val="mk-MK"/>
              </w:rPr>
              <w:t>); Најнизок резултат за дигитална трансформација во регионот</w:t>
            </w:r>
          </w:p>
        </w:tc>
        <w:tc>
          <w:tcPr>
            <w:tcW w:w="1232" w:type="dxa"/>
          </w:tcPr>
          <w:p w14:paraId="23D6F0B2"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2.0 / 10</w:t>
            </w:r>
          </w:p>
        </w:tc>
      </w:tr>
    </w:tbl>
    <w:p w14:paraId="38C56ADF" w14:textId="77777777" w:rsidR="00FE200F" w:rsidRDefault="00E77CAF">
      <w:pPr>
        <w:jc w:val="both"/>
        <w:rPr>
          <w:rFonts w:ascii="Times New Roman" w:hAnsi="Times New Roman" w:cs="Times New Roman"/>
          <w:lang w:val="mk-MK"/>
        </w:rPr>
      </w:pPr>
      <w:r>
        <w:rPr>
          <w:rFonts w:ascii="Times New Roman" w:hAnsi="Times New Roman" w:cs="Times New Roman"/>
          <w:i/>
          <w:iCs/>
          <w:color w:val="auto"/>
          <w:sz w:val="20"/>
          <w:szCs w:val="20"/>
          <w:lang w:val="mk-MK"/>
        </w:rPr>
        <w:t xml:space="preserve">Извор: OECD Economic Convergence Scoreboard for the Western Balkans (2025); ai.gov.rs </w:t>
      </w:r>
      <w:r>
        <w:rPr>
          <w:rFonts w:ascii="Times New Roman" w:hAnsi="Times New Roman" w:cs="Times New Roman"/>
          <w:i/>
          <w:iCs/>
          <w:color w:val="auto"/>
          <w:sz w:val="20"/>
          <w:szCs w:val="20"/>
          <w:lang w:val="mk-MK"/>
        </w:rPr>
        <w:t>(2025); Regulations.ai (2026); Consultancy.eu (2025); Balkan Insight (2025); Open Data Kosovo (2024). Оценките се базирани на Методологијата за проценка на ВИ зрелост развиена за оваа анализа.</w:t>
      </w:r>
    </w:p>
    <w:p w14:paraId="08A1D085" w14:textId="77777777" w:rsidR="00FE200F" w:rsidRDefault="00FE200F">
      <w:pPr>
        <w:jc w:val="both"/>
        <w:rPr>
          <w:rFonts w:ascii="Times New Roman" w:hAnsi="Times New Roman" w:cs="Times New Roman"/>
          <w:i/>
          <w:iCs/>
          <w:color w:val="auto"/>
          <w:sz w:val="20"/>
          <w:szCs w:val="20"/>
          <w:lang w:val="mk-MK"/>
        </w:rPr>
      </w:pPr>
    </w:p>
    <w:p w14:paraId="42C93A2F" w14:textId="77777777" w:rsidR="00FE200F" w:rsidRDefault="00E77CAF">
      <w:pPr>
        <w:pStyle w:val="Heading3"/>
        <w:jc w:val="both"/>
        <w:rPr>
          <w:rFonts w:ascii="Times New Roman" w:hAnsi="Times New Roman" w:cs="Times New Roman"/>
          <w:lang w:val="mk-MK"/>
        </w:rPr>
      </w:pPr>
      <w:bookmarkStart w:id="49" w:name="_Toc240630050"/>
      <w:bookmarkStart w:id="50" w:name="_Toc243907993"/>
      <w:r>
        <w:rPr>
          <w:rFonts w:ascii="Times New Roman" w:hAnsi="Times New Roman" w:cs="Times New Roman"/>
          <w:color w:val="auto"/>
          <w:lang w:val="mk-MK"/>
        </w:rPr>
        <w:t xml:space="preserve">3.4.6 Меѓународна споредба: </w:t>
      </w:r>
      <w:r>
        <w:rPr>
          <w:rFonts w:ascii="Times New Roman" w:hAnsi="Times New Roman" w:cs="Times New Roman"/>
          <w:i/>
          <w:iCs/>
          <w:color w:val="auto"/>
          <w:lang w:val="mk-MK"/>
        </w:rPr>
        <w:t xml:space="preserve">Oxford Insights Government AI </w:t>
      </w:r>
      <w:r>
        <w:rPr>
          <w:rFonts w:ascii="Times New Roman" w:hAnsi="Times New Roman" w:cs="Times New Roman"/>
          <w:i/>
          <w:iCs/>
          <w:color w:val="auto"/>
          <w:lang w:val="mk-MK"/>
        </w:rPr>
        <w:t>Readiness Index</w:t>
      </w:r>
      <w:r>
        <w:rPr>
          <w:rFonts w:ascii="Times New Roman" w:hAnsi="Times New Roman" w:cs="Times New Roman"/>
          <w:color w:val="auto"/>
          <w:lang w:val="mk-MK"/>
        </w:rPr>
        <w:t xml:space="preserve"> 2025</w:t>
      </w:r>
      <w:bookmarkEnd w:id="49"/>
      <w:bookmarkEnd w:id="50"/>
    </w:p>
    <w:p w14:paraId="3CC9FBEF"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За дополнителна верификација на регионалната позиција на Северна Македонија, анализата е збогатена со резултатите од </w:t>
      </w:r>
      <w:r>
        <w:rPr>
          <w:rFonts w:ascii="Times New Roman" w:hAnsi="Times New Roman" w:cs="Times New Roman"/>
          <w:i/>
          <w:iCs/>
          <w:color w:val="auto"/>
          <w:lang w:val="mk-MK"/>
        </w:rPr>
        <w:t>Oxford Insights Government AI Readiness Index</w:t>
      </w:r>
      <w:r>
        <w:rPr>
          <w:rFonts w:ascii="Times New Roman" w:hAnsi="Times New Roman" w:cs="Times New Roman"/>
          <w:color w:val="auto"/>
          <w:lang w:val="mk-MK"/>
        </w:rPr>
        <w:t xml:space="preserve"> 2025 — еден од најавторитативните глобални индекси за подготвеност на вл</w:t>
      </w:r>
      <w:r>
        <w:rPr>
          <w:rFonts w:ascii="Times New Roman" w:hAnsi="Times New Roman" w:cs="Times New Roman"/>
          <w:color w:val="auto"/>
          <w:lang w:val="mk-MK"/>
        </w:rPr>
        <w:t>адите за примена на вештачка интелигенција, кој ги оценува 195 земји по шест столба: Капацитет за политики (</w:t>
      </w:r>
      <w:r>
        <w:rPr>
          <w:rFonts w:ascii="Times New Roman" w:hAnsi="Times New Roman" w:cs="Times New Roman"/>
          <w:i/>
          <w:iCs/>
          <w:color w:val="auto"/>
          <w:lang w:val="mk-MK"/>
        </w:rPr>
        <w:t>Policy Capacity)</w:t>
      </w:r>
      <w:r>
        <w:rPr>
          <w:rFonts w:ascii="Times New Roman" w:hAnsi="Times New Roman" w:cs="Times New Roman"/>
          <w:color w:val="auto"/>
          <w:lang w:val="mk-MK"/>
        </w:rPr>
        <w:t>, ВИ инфраструктура (</w:t>
      </w:r>
      <w:r>
        <w:rPr>
          <w:rFonts w:ascii="Times New Roman" w:hAnsi="Times New Roman" w:cs="Times New Roman"/>
          <w:i/>
          <w:iCs/>
          <w:color w:val="auto"/>
          <w:lang w:val="mk-MK"/>
        </w:rPr>
        <w:t>AI Infrastructure</w:t>
      </w:r>
      <w:r>
        <w:rPr>
          <w:rFonts w:ascii="Times New Roman" w:hAnsi="Times New Roman" w:cs="Times New Roman"/>
          <w:color w:val="auto"/>
          <w:lang w:val="mk-MK"/>
        </w:rPr>
        <w:t>), Управување (</w:t>
      </w:r>
      <w:r>
        <w:rPr>
          <w:rFonts w:ascii="Times New Roman" w:hAnsi="Times New Roman" w:cs="Times New Roman"/>
          <w:i/>
          <w:iCs/>
          <w:color w:val="auto"/>
          <w:lang w:val="mk-MK"/>
        </w:rPr>
        <w:t>Governance</w:t>
      </w:r>
      <w:r>
        <w:rPr>
          <w:rFonts w:ascii="Times New Roman" w:hAnsi="Times New Roman" w:cs="Times New Roman"/>
          <w:color w:val="auto"/>
          <w:lang w:val="mk-MK"/>
        </w:rPr>
        <w:t xml:space="preserve">), Усвојување во </w:t>
      </w:r>
      <w:r>
        <w:rPr>
          <w:rFonts w:ascii="Times New Roman" w:hAnsi="Times New Roman" w:cs="Times New Roman"/>
          <w:color w:val="auto"/>
          <w:lang w:val="mk-MK"/>
        </w:rPr>
        <w:lastRenderedPageBreak/>
        <w:t>јавниот сектор (</w:t>
      </w:r>
      <w:r>
        <w:rPr>
          <w:rFonts w:ascii="Times New Roman" w:hAnsi="Times New Roman" w:cs="Times New Roman"/>
          <w:i/>
          <w:iCs/>
          <w:color w:val="auto"/>
          <w:lang w:val="mk-MK"/>
        </w:rPr>
        <w:t>Public Sector Adoption</w:t>
      </w:r>
      <w:r>
        <w:rPr>
          <w:rFonts w:ascii="Times New Roman" w:hAnsi="Times New Roman" w:cs="Times New Roman"/>
          <w:color w:val="auto"/>
          <w:lang w:val="mk-MK"/>
        </w:rPr>
        <w:t>), Развој и ди</w:t>
      </w:r>
      <w:r>
        <w:rPr>
          <w:rFonts w:ascii="Times New Roman" w:hAnsi="Times New Roman" w:cs="Times New Roman"/>
          <w:color w:val="auto"/>
          <w:lang w:val="mk-MK"/>
        </w:rPr>
        <w:t>фузија (</w:t>
      </w:r>
      <w:r>
        <w:rPr>
          <w:rFonts w:ascii="Times New Roman" w:hAnsi="Times New Roman" w:cs="Times New Roman"/>
          <w:i/>
          <w:iCs/>
          <w:color w:val="auto"/>
          <w:lang w:val="mk-MK"/>
        </w:rPr>
        <w:t>Development &amp; Diffusion</w:t>
      </w:r>
      <w:r>
        <w:rPr>
          <w:rFonts w:ascii="Times New Roman" w:hAnsi="Times New Roman" w:cs="Times New Roman"/>
          <w:color w:val="auto"/>
          <w:lang w:val="mk-MK"/>
        </w:rPr>
        <w:t>) и Отпорност (</w:t>
      </w:r>
      <w:r>
        <w:rPr>
          <w:rFonts w:ascii="Times New Roman" w:hAnsi="Times New Roman" w:cs="Times New Roman"/>
          <w:i/>
          <w:iCs/>
          <w:color w:val="auto"/>
          <w:lang w:val="mk-MK"/>
        </w:rPr>
        <w:t>Resilience</w:t>
      </w:r>
      <w:r>
        <w:rPr>
          <w:rFonts w:ascii="Times New Roman" w:hAnsi="Times New Roman" w:cs="Times New Roman"/>
          <w:color w:val="auto"/>
          <w:lang w:val="mk-MK"/>
        </w:rPr>
        <w:t xml:space="preserve">). Индексот е референциран од </w:t>
      </w:r>
      <w:r>
        <w:rPr>
          <w:rFonts w:ascii="Times New Roman" w:hAnsi="Times New Roman" w:cs="Times New Roman"/>
          <w:i/>
          <w:iCs/>
          <w:color w:val="auto"/>
          <w:lang w:val="mk-MK"/>
        </w:rPr>
        <w:t>UNESCO</w:t>
      </w:r>
      <w:r>
        <w:rPr>
          <w:rFonts w:ascii="Times New Roman" w:hAnsi="Times New Roman" w:cs="Times New Roman"/>
          <w:color w:val="auto"/>
          <w:lang w:val="mk-MK"/>
        </w:rPr>
        <w:t xml:space="preserve"> и </w:t>
      </w:r>
      <w:r>
        <w:rPr>
          <w:rFonts w:ascii="Times New Roman" w:hAnsi="Times New Roman" w:cs="Times New Roman"/>
          <w:i/>
          <w:iCs/>
          <w:color w:val="auto"/>
          <w:lang w:val="mk-MK"/>
        </w:rPr>
        <w:t>G20</w:t>
      </w:r>
      <w:r>
        <w:rPr>
          <w:rFonts w:ascii="Times New Roman" w:hAnsi="Times New Roman" w:cs="Times New Roman"/>
          <w:color w:val="auto"/>
          <w:lang w:val="mk-MK"/>
        </w:rPr>
        <w:t>.</w:t>
      </w:r>
    </w:p>
    <w:p w14:paraId="2BD2D804" w14:textId="77777777" w:rsidR="00FE200F" w:rsidRDefault="00FE200F">
      <w:pPr>
        <w:jc w:val="both"/>
        <w:rPr>
          <w:rFonts w:ascii="Times New Roman" w:hAnsi="Times New Roman" w:cs="Times New Roman"/>
          <w:color w:val="auto"/>
          <w:lang w:val="mk-MK"/>
        </w:rPr>
      </w:pPr>
    </w:p>
    <w:tbl>
      <w:tblPr>
        <w:tblStyle w:val="GridTable5Dark-Accent5"/>
        <w:tblW w:w="10915" w:type="dxa"/>
        <w:tblInd w:w="-1051" w:type="dxa"/>
        <w:shd w:val="clear" w:color="auto" w:fill="DAEEF3"/>
        <w:tblLayout w:type="fixed"/>
        <w:tblLook w:val="04A0" w:firstRow="1" w:lastRow="0" w:firstColumn="1" w:lastColumn="0" w:noHBand="0" w:noVBand="1"/>
      </w:tblPr>
      <w:tblGrid>
        <w:gridCol w:w="1808"/>
        <w:gridCol w:w="1063"/>
        <w:gridCol w:w="1230"/>
        <w:gridCol w:w="1417"/>
        <w:gridCol w:w="1222"/>
        <w:gridCol w:w="1413"/>
        <w:gridCol w:w="1208"/>
        <w:gridCol w:w="1554"/>
      </w:tblGrid>
      <w:tr w:rsidR="00FE200F" w14:paraId="18BE287A" w14:textId="77777777" w:rsidTr="00FE20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7" w:type="dxa"/>
          </w:tcPr>
          <w:p w14:paraId="52B5E346" w14:textId="77777777" w:rsidR="00FE200F" w:rsidRDefault="00E77CAF">
            <w:pPr>
              <w:jc w:val="both"/>
              <w:rPr>
                <w:rFonts w:ascii="Times New Roman" w:hAnsi="Times New Roman" w:cs="Times New Roman"/>
                <w:lang w:val="mk-MK"/>
              </w:rPr>
            </w:pPr>
            <w:r>
              <w:rPr>
                <w:rFonts w:ascii="Times New Roman" w:hAnsi="Times New Roman" w:cs="Times New Roman"/>
                <w:color w:val="auto"/>
                <w:sz w:val="16"/>
                <w:szCs w:val="16"/>
                <w:lang w:val="mk-MK"/>
              </w:rPr>
              <w:t>Земја</w:t>
            </w:r>
          </w:p>
        </w:tc>
        <w:tc>
          <w:tcPr>
            <w:tcW w:w="1062" w:type="dxa"/>
            <w:tcBorders>
              <w:bottom w:val="nil"/>
            </w:tcBorders>
          </w:tcPr>
          <w:p w14:paraId="26DCDBC2" w14:textId="77777777" w:rsidR="00FE200F" w:rsidRDefault="00E77CA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16"/>
                <w:szCs w:val="16"/>
                <w:lang w:val="mk-MK"/>
              </w:rPr>
              <w:t>Ранг</w:t>
            </w:r>
            <w:r>
              <w:rPr>
                <w:rFonts w:ascii="Times New Roman" w:hAnsi="Times New Roman" w:cs="Times New Roman"/>
                <w:color w:val="auto"/>
                <w:sz w:val="16"/>
                <w:szCs w:val="16"/>
                <w:lang w:val="mk-MK"/>
              </w:rPr>
              <w:br/>
              <w:t>(од 195)</w:t>
            </w:r>
          </w:p>
        </w:tc>
        <w:tc>
          <w:tcPr>
            <w:tcW w:w="1230" w:type="dxa"/>
            <w:tcBorders>
              <w:bottom w:val="nil"/>
            </w:tcBorders>
          </w:tcPr>
          <w:p w14:paraId="01E76777" w14:textId="77777777" w:rsidR="00FE200F" w:rsidRDefault="00E77CA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lang w:val="mk-MK"/>
              </w:rPr>
            </w:pPr>
            <w:r>
              <w:rPr>
                <w:rFonts w:ascii="Times New Roman" w:hAnsi="Times New Roman" w:cs="Times New Roman"/>
                <w:color w:val="auto"/>
                <w:sz w:val="16"/>
                <w:szCs w:val="16"/>
                <w:lang w:val="mk-MK"/>
              </w:rPr>
              <w:t>Капацитет за политики</w:t>
            </w:r>
          </w:p>
        </w:tc>
        <w:tc>
          <w:tcPr>
            <w:tcW w:w="1417" w:type="dxa"/>
            <w:tcBorders>
              <w:bottom w:val="nil"/>
            </w:tcBorders>
          </w:tcPr>
          <w:p w14:paraId="2578E65F" w14:textId="77777777" w:rsidR="00FE200F" w:rsidRDefault="00E77CA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lang w:val="mk-MK"/>
              </w:rPr>
            </w:pPr>
            <w:r>
              <w:rPr>
                <w:rFonts w:ascii="Times New Roman" w:hAnsi="Times New Roman" w:cs="Times New Roman"/>
                <w:color w:val="auto"/>
                <w:sz w:val="16"/>
                <w:szCs w:val="16"/>
                <w:lang w:val="mk-MK"/>
              </w:rPr>
              <w:t>ВИ инфраструктура</w:t>
            </w:r>
          </w:p>
        </w:tc>
        <w:tc>
          <w:tcPr>
            <w:tcW w:w="1222" w:type="dxa"/>
            <w:tcBorders>
              <w:bottom w:val="nil"/>
            </w:tcBorders>
          </w:tcPr>
          <w:p w14:paraId="2A2A8F73" w14:textId="77777777" w:rsidR="00FE200F" w:rsidRDefault="00E77CA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lang w:val="mk-MK"/>
              </w:rPr>
            </w:pPr>
            <w:r>
              <w:rPr>
                <w:rFonts w:ascii="Times New Roman" w:hAnsi="Times New Roman" w:cs="Times New Roman"/>
                <w:color w:val="auto"/>
                <w:sz w:val="16"/>
                <w:szCs w:val="16"/>
                <w:lang w:val="mk-MK"/>
              </w:rPr>
              <w:t>Управување</w:t>
            </w:r>
          </w:p>
        </w:tc>
        <w:tc>
          <w:tcPr>
            <w:tcW w:w="1413" w:type="dxa"/>
            <w:tcBorders>
              <w:bottom w:val="nil"/>
            </w:tcBorders>
          </w:tcPr>
          <w:p w14:paraId="3DCDFD74" w14:textId="77777777" w:rsidR="00FE200F" w:rsidRDefault="00E77CA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lang w:val="mk-MK"/>
              </w:rPr>
            </w:pPr>
            <w:r>
              <w:rPr>
                <w:rFonts w:ascii="Times New Roman" w:hAnsi="Times New Roman" w:cs="Times New Roman"/>
                <w:color w:val="auto"/>
                <w:sz w:val="16"/>
                <w:szCs w:val="16"/>
                <w:lang w:val="mk-MK"/>
              </w:rPr>
              <w:t>Усвојување во јавниот сектор</w:t>
            </w:r>
          </w:p>
        </w:tc>
        <w:tc>
          <w:tcPr>
            <w:tcW w:w="1208" w:type="dxa"/>
            <w:tcBorders>
              <w:bottom w:val="nil"/>
            </w:tcBorders>
          </w:tcPr>
          <w:p w14:paraId="22811A58" w14:textId="77777777" w:rsidR="00FE200F" w:rsidRDefault="00E77CA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lang w:val="mk-MK"/>
              </w:rPr>
            </w:pPr>
            <w:r>
              <w:rPr>
                <w:rFonts w:ascii="Times New Roman" w:hAnsi="Times New Roman" w:cs="Times New Roman"/>
                <w:color w:val="auto"/>
                <w:sz w:val="16"/>
                <w:szCs w:val="16"/>
                <w:lang w:val="mk-MK"/>
              </w:rPr>
              <w:t>Развој и дифузија</w:t>
            </w:r>
          </w:p>
        </w:tc>
        <w:tc>
          <w:tcPr>
            <w:tcW w:w="1554" w:type="dxa"/>
            <w:tcBorders>
              <w:bottom w:val="nil"/>
            </w:tcBorders>
          </w:tcPr>
          <w:p w14:paraId="4DDC5538" w14:textId="77777777" w:rsidR="00FE200F" w:rsidRDefault="00E77CA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lang w:val="mk-MK"/>
              </w:rPr>
            </w:pPr>
            <w:r>
              <w:rPr>
                <w:rFonts w:ascii="Times New Roman" w:hAnsi="Times New Roman" w:cs="Times New Roman"/>
                <w:color w:val="auto"/>
                <w:sz w:val="16"/>
                <w:szCs w:val="16"/>
                <w:lang w:val="mk-MK"/>
              </w:rPr>
              <w:t>Отпорност</w:t>
            </w:r>
          </w:p>
        </w:tc>
      </w:tr>
      <w:tr w:rsidR="00FE200F" w14:paraId="35338194"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7" w:type="dxa"/>
            <w:tcBorders>
              <w:right w:val="nil"/>
            </w:tcBorders>
          </w:tcPr>
          <w:p w14:paraId="52238FB5"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Србија</w:t>
            </w:r>
          </w:p>
        </w:tc>
        <w:tc>
          <w:tcPr>
            <w:tcW w:w="1062" w:type="dxa"/>
          </w:tcPr>
          <w:p w14:paraId="394D0638"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39</w:t>
            </w:r>
          </w:p>
        </w:tc>
        <w:tc>
          <w:tcPr>
            <w:tcW w:w="1230" w:type="dxa"/>
          </w:tcPr>
          <w:p w14:paraId="5AF468A9"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100,00</w:t>
            </w:r>
          </w:p>
        </w:tc>
        <w:tc>
          <w:tcPr>
            <w:tcW w:w="1417" w:type="dxa"/>
          </w:tcPr>
          <w:p w14:paraId="6D5FFED2"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52,75</w:t>
            </w:r>
          </w:p>
        </w:tc>
        <w:tc>
          <w:tcPr>
            <w:tcW w:w="1222" w:type="dxa"/>
          </w:tcPr>
          <w:p w14:paraId="16BFBFEB"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78,64</w:t>
            </w:r>
          </w:p>
        </w:tc>
        <w:tc>
          <w:tcPr>
            <w:tcW w:w="1413" w:type="dxa"/>
          </w:tcPr>
          <w:p w14:paraId="553256FD"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83,92</w:t>
            </w:r>
          </w:p>
        </w:tc>
        <w:tc>
          <w:tcPr>
            <w:tcW w:w="1208" w:type="dxa"/>
          </w:tcPr>
          <w:p w14:paraId="073FFFBB"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35,78</w:t>
            </w:r>
          </w:p>
        </w:tc>
        <w:tc>
          <w:tcPr>
            <w:tcW w:w="1554" w:type="dxa"/>
          </w:tcPr>
          <w:p w14:paraId="3D4257EA"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44,42</w:t>
            </w:r>
          </w:p>
        </w:tc>
      </w:tr>
      <w:tr w:rsidR="00FE200F" w14:paraId="37E20089" w14:textId="77777777" w:rsidTr="00FE200F">
        <w:tc>
          <w:tcPr>
            <w:cnfStyle w:val="001000000000" w:firstRow="0" w:lastRow="0" w:firstColumn="1" w:lastColumn="0" w:oddVBand="0" w:evenVBand="0" w:oddHBand="0" w:evenHBand="0" w:firstRowFirstColumn="0" w:firstRowLastColumn="0" w:lastRowFirstColumn="0" w:lastRowLastColumn="0"/>
            <w:tcW w:w="1807" w:type="dxa"/>
            <w:tcBorders>
              <w:right w:val="nil"/>
            </w:tcBorders>
          </w:tcPr>
          <w:p w14:paraId="13FECEE1"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Хрватска</w:t>
            </w:r>
          </w:p>
        </w:tc>
        <w:tc>
          <w:tcPr>
            <w:tcW w:w="1062" w:type="dxa"/>
          </w:tcPr>
          <w:p w14:paraId="3153457C"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72</w:t>
            </w:r>
          </w:p>
        </w:tc>
        <w:tc>
          <w:tcPr>
            <w:tcW w:w="1230" w:type="dxa"/>
          </w:tcPr>
          <w:p w14:paraId="629D8547"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34,50</w:t>
            </w:r>
          </w:p>
        </w:tc>
        <w:tc>
          <w:tcPr>
            <w:tcW w:w="1417" w:type="dxa"/>
          </w:tcPr>
          <w:p w14:paraId="500EEFD3"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52,04</w:t>
            </w:r>
          </w:p>
        </w:tc>
        <w:tc>
          <w:tcPr>
            <w:tcW w:w="1222" w:type="dxa"/>
          </w:tcPr>
          <w:p w14:paraId="6813553B"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70,64</w:t>
            </w:r>
          </w:p>
        </w:tc>
        <w:tc>
          <w:tcPr>
            <w:tcW w:w="1413" w:type="dxa"/>
          </w:tcPr>
          <w:p w14:paraId="48B9A1A2"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71,67</w:t>
            </w:r>
          </w:p>
        </w:tc>
        <w:tc>
          <w:tcPr>
            <w:tcW w:w="1208" w:type="dxa"/>
          </w:tcPr>
          <w:p w14:paraId="147A9E98"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29,92</w:t>
            </w:r>
          </w:p>
        </w:tc>
        <w:tc>
          <w:tcPr>
            <w:tcW w:w="1554" w:type="dxa"/>
          </w:tcPr>
          <w:p w14:paraId="3F22DF6C"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45,04</w:t>
            </w:r>
          </w:p>
        </w:tc>
      </w:tr>
      <w:tr w:rsidR="00FE200F" w14:paraId="6908B930"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7" w:type="dxa"/>
            <w:tcBorders>
              <w:right w:val="nil"/>
            </w:tcBorders>
          </w:tcPr>
          <w:p w14:paraId="743B5A7D"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Албанија</w:t>
            </w:r>
          </w:p>
        </w:tc>
        <w:tc>
          <w:tcPr>
            <w:tcW w:w="1062" w:type="dxa"/>
          </w:tcPr>
          <w:p w14:paraId="240B5BA2"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85</w:t>
            </w:r>
          </w:p>
        </w:tc>
        <w:tc>
          <w:tcPr>
            <w:tcW w:w="1230" w:type="dxa"/>
          </w:tcPr>
          <w:p w14:paraId="62C710D1"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23,00</w:t>
            </w:r>
          </w:p>
        </w:tc>
        <w:tc>
          <w:tcPr>
            <w:tcW w:w="1417" w:type="dxa"/>
          </w:tcPr>
          <w:p w14:paraId="09DD2042"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51,21</w:t>
            </w:r>
          </w:p>
        </w:tc>
        <w:tc>
          <w:tcPr>
            <w:tcW w:w="1222" w:type="dxa"/>
          </w:tcPr>
          <w:p w14:paraId="032B40E6"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51,67</w:t>
            </w:r>
          </w:p>
        </w:tc>
        <w:tc>
          <w:tcPr>
            <w:tcW w:w="1413" w:type="dxa"/>
          </w:tcPr>
          <w:p w14:paraId="2D655E85"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68,95</w:t>
            </w:r>
          </w:p>
        </w:tc>
        <w:tc>
          <w:tcPr>
            <w:tcW w:w="1208" w:type="dxa"/>
          </w:tcPr>
          <w:p w14:paraId="24E7D92E"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24,35</w:t>
            </w:r>
          </w:p>
        </w:tc>
        <w:tc>
          <w:tcPr>
            <w:tcW w:w="1554" w:type="dxa"/>
          </w:tcPr>
          <w:p w14:paraId="6D83816A"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41,60</w:t>
            </w:r>
          </w:p>
        </w:tc>
      </w:tr>
      <w:tr w:rsidR="00FE200F" w14:paraId="04D78330" w14:textId="77777777" w:rsidTr="00FE200F">
        <w:tc>
          <w:tcPr>
            <w:cnfStyle w:val="001000000000" w:firstRow="0" w:lastRow="0" w:firstColumn="1" w:lastColumn="0" w:oddVBand="0" w:evenVBand="0" w:oddHBand="0" w:evenHBand="0" w:firstRowFirstColumn="0" w:firstRowLastColumn="0" w:lastRowFirstColumn="0" w:lastRowLastColumn="0"/>
            <w:tcW w:w="1807" w:type="dxa"/>
            <w:tcBorders>
              <w:right w:val="nil"/>
            </w:tcBorders>
          </w:tcPr>
          <w:p w14:paraId="0EB5660B"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С. Македонија</w:t>
            </w:r>
          </w:p>
        </w:tc>
        <w:tc>
          <w:tcPr>
            <w:tcW w:w="1062" w:type="dxa"/>
          </w:tcPr>
          <w:p w14:paraId="60187448"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107</w:t>
            </w:r>
          </w:p>
        </w:tc>
        <w:tc>
          <w:tcPr>
            <w:tcW w:w="1230" w:type="dxa"/>
          </w:tcPr>
          <w:p w14:paraId="2531E884"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34,50</w:t>
            </w:r>
          </w:p>
        </w:tc>
        <w:tc>
          <w:tcPr>
            <w:tcW w:w="1417" w:type="dxa"/>
          </w:tcPr>
          <w:p w14:paraId="06B1DB2F"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41,12</w:t>
            </w:r>
          </w:p>
        </w:tc>
        <w:tc>
          <w:tcPr>
            <w:tcW w:w="1222" w:type="dxa"/>
          </w:tcPr>
          <w:p w14:paraId="70325BA2"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45,00</w:t>
            </w:r>
          </w:p>
        </w:tc>
        <w:tc>
          <w:tcPr>
            <w:tcW w:w="1413" w:type="dxa"/>
          </w:tcPr>
          <w:p w14:paraId="56F25395"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46,55</w:t>
            </w:r>
          </w:p>
        </w:tc>
        <w:tc>
          <w:tcPr>
            <w:tcW w:w="1208" w:type="dxa"/>
          </w:tcPr>
          <w:p w14:paraId="297D4D07"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24,85</w:t>
            </w:r>
          </w:p>
        </w:tc>
        <w:tc>
          <w:tcPr>
            <w:tcW w:w="1554" w:type="dxa"/>
          </w:tcPr>
          <w:p w14:paraId="4700CD79"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38,98</w:t>
            </w:r>
          </w:p>
        </w:tc>
      </w:tr>
      <w:tr w:rsidR="00FE200F" w14:paraId="6748D790"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7" w:type="dxa"/>
            <w:tcBorders>
              <w:right w:val="nil"/>
            </w:tcBorders>
          </w:tcPr>
          <w:p w14:paraId="5AD06EF3"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БиХ</w:t>
            </w:r>
          </w:p>
        </w:tc>
        <w:tc>
          <w:tcPr>
            <w:tcW w:w="1062" w:type="dxa"/>
          </w:tcPr>
          <w:p w14:paraId="093D480F"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114</w:t>
            </w:r>
          </w:p>
        </w:tc>
        <w:tc>
          <w:tcPr>
            <w:tcW w:w="1230" w:type="dxa"/>
          </w:tcPr>
          <w:p w14:paraId="0F020A85"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19,00</w:t>
            </w:r>
          </w:p>
        </w:tc>
        <w:tc>
          <w:tcPr>
            <w:tcW w:w="1417" w:type="dxa"/>
          </w:tcPr>
          <w:p w14:paraId="5C5A4417"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43,26</w:t>
            </w:r>
          </w:p>
        </w:tc>
        <w:tc>
          <w:tcPr>
            <w:tcW w:w="1222" w:type="dxa"/>
          </w:tcPr>
          <w:p w14:paraId="0DF313E7"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51,02</w:t>
            </w:r>
          </w:p>
        </w:tc>
        <w:tc>
          <w:tcPr>
            <w:tcW w:w="1413" w:type="dxa"/>
          </w:tcPr>
          <w:p w14:paraId="414F4DD3"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51,83</w:t>
            </w:r>
          </w:p>
        </w:tc>
        <w:tc>
          <w:tcPr>
            <w:tcW w:w="1208" w:type="dxa"/>
          </w:tcPr>
          <w:p w14:paraId="1A696761"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19,43</w:t>
            </w:r>
          </w:p>
        </w:tc>
        <w:tc>
          <w:tcPr>
            <w:tcW w:w="1554" w:type="dxa"/>
          </w:tcPr>
          <w:p w14:paraId="58AFB1E7"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26,66</w:t>
            </w:r>
          </w:p>
        </w:tc>
      </w:tr>
      <w:tr w:rsidR="00FE200F" w14:paraId="31D112BB" w14:textId="77777777" w:rsidTr="00FE200F">
        <w:tc>
          <w:tcPr>
            <w:cnfStyle w:val="001000000000" w:firstRow="0" w:lastRow="0" w:firstColumn="1" w:lastColumn="0" w:oddVBand="0" w:evenVBand="0" w:oddHBand="0" w:evenHBand="0" w:firstRowFirstColumn="0" w:firstRowLastColumn="0" w:lastRowFirstColumn="0" w:lastRowLastColumn="0"/>
            <w:tcW w:w="1807" w:type="dxa"/>
            <w:tcBorders>
              <w:right w:val="nil"/>
            </w:tcBorders>
          </w:tcPr>
          <w:p w14:paraId="708297AF"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Косово</w:t>
            </w:r>
          </w:p>
        </w:tc>
        <w:tc>
          <w:tcPr>
            <w:tcW w:w="1062" w:type="dxa"/>
          </w:tcPr>
          <w:p w14:paraId="5D0215C0"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н/а</w:t>
            </w:r>
          </w:p>
        </w:tc>
        <w:tc>
          <w:tcPr>
            <w:tcW w:w="1230" w:type="dxa"/>
          </w:tcPr>
          <w:p w14:paraId="34094649"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н/а</w:t>
            </w:r>
          </w:p>
        </w:tc>
        <w:tc>
          <w:tcPr>
            <w:tcW w:w="1417" w:type="dxa"/>
          </w:tcPr>
          <w:p w14:paraId="62DA28B2"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н/а</w:t>
            </w:r>
          </w:p>
        </w:tc>
        <w:tc>
          <w:tcPr>
            <w:tcW w:w="1222" w:type="dxa"/>
          </w:tcPr>
          <w:p w14:paraId="66582E1F"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н/а</w:t>
            </w:r>
          </w:p>
        </w:tc>
        <w:tc>
          <w:tcPr>
            <w:tcW w:w="1413" w:type="dxa"/>
          </w:tcPr>
          <w:p w14:paraId="5FEE45F5"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н/а</w:t>
            </w:r>
          </w:p>
        </w:tc>
        <w:tc>
          <w:tcPr>
            <w:tcW w:w="1208" w:type="dxa"/>
          </w:tcPr>
          <w:p w14:paraId="52FEBB05"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н/а</w:t>
            </w:r>
          </w:p>
        </w:tc>
        <w:tc>
          <w:tcPr>
            <w:tcW w:w="1554" w:type="dxa"/>
          </w:tcPr>
          <w:p w14:paraId="115981B1"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н/а</w:t>
            </w:r>
          </w:p>
        </w:tc>
      </w:tr>
    </w:tbl>
    <w:p w14:paraId="3CC868F3" w14:textId="77777777" w:rsidR="00FE200F" w:rsidRDefault="00E77CAF">
      <w:pPr>
        <w:jc w:val="center"/>
        <w:rPr>
          <w:rFonts w:ascii="Times New Roman" w:hAnsi="Times New Roman" w:cs="Times New Roman"/>
          <w:lang w:val="mk-MK"/>
        </w:rPr>
      </w:pPr>
      <w:r>
        <w:rPr>
          <w:rFonts w:ascii="Times New Roman" w:hAnsi="Times New Roman" w:cs="Times New Roman"/>
          <w:i/>
          <w:iCs/>
          <w:color w:val="auto"/>
          <w:sz w:val="20"/>
          <w:szCs w:val="20"/>
          <w:lang w:val="mk-MK"/>
        </w:rPr>
        <w:t>Извор: Oxford Insights, Government AI Readiness Index 2025 (January 2026). Оценките се на скала 0–100. Косово не е вклучено во индексот. Достапно на: oxfordinsights.com/ai-readiness/government-ai-readiness-index-2025/</w:t>
      </w:r>
    </w:p>
    <w:p w14:paraId="6F6F0406" w14:textId="77777777" w:rsidR="00FE200F" w:rsidRDefault="00FE200F">
      <w:pPr>
        <w:jc w:val="both"/>
        <w:rPr>
          <w:rFonts w:ascii="Times New Roman" w:hAnsi="Times New Roman" w:cs="Times New Roman"/>
          <w:color w:val="auto"/>
          <w:lang w:val="mk-MK"/>
        </w:rPr>
      </w:pPr>
    </w:p>
    <w:p w14:paraId="10FA3A8A"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Резултатите од индексот ги потвр</w:t>
      </w:r>
      <w:r>
        <w:rPr>
          <w:rFonts w:ascii="Times New Roman" w:hAnsi="Times New Roman" w:cs="Times New Roman"/>
          <w:color w:val="auto"/>
          <w:lang w:val="mk-MK"/>
        </w:rPr>
        <w:t>дуваат и квантифицираат наодите од претходната компаративна анализа. Неколку клучни согледувања произлегуваат директно од податоците:</w:t>
      </w:r>
    </w:p>
    <w:p w14:paraId="6AA48A3C" w14:textId="77777777" w:rsidR="00FE200F" w:rsidRDefault="00FE200F">
      <w:pPr>
        <w:jc w:val="both"/>
        <w:rPr>
          <w:rFonts w:ascii="Times New Roman" w:hAnsi="Times New Roman" w:cs="Times New Roman"/>
          <w:b/>
          <w:color w:val="auto"/>
          <w:lang w:val="mk-MK"/>
        </w:rPr>
      </w:pPr>
    </w:p>
    <w:p w14:paraId="4558124A"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 xml:space="preserve">Србија е регионален лидер со глобален ранг 39: </w:t>
      </w:r>
      <w:r>
        <w:rPr>
          <w:rFonts w:ascii="Times New Roman" w:hAnsi="Times New Roman" w:cs="Times New Roman"/>
          <w:color w:val="auto"/>
          <w:lang w:val="mk-MK"/>
        </w:rPr>
        <w:t xml:space="preserve">Особено впечатлив е резултатот за </w:t>
      </w:r>
      <w:r>
        <w:rPr>
          <w:rFonts w:ascii="Times New Roman" w:hAnsi="Times New Roman" w:cs="Times New Roman"/>
          <w:i/>
          <w:iCs/>
          <w:color w:val="auto"/>
          <w:lang w:val="mk-MK"/>
        </w:rPr>
        <w:t>Policy Capacity</w:t>
      </w:r>
      <w:r>
        <w:rPr>
          <w:rFonts w:ascii="Times New Roman" w:hAnsi="Times New Roman" w:cs="Times New Roman"/>
          <w:color w:val="auto"/>
          <w:lang w:val="mk-MK"/>
        </w:rPr>
        <w:t xml:space="preserve"> (100/100) — Србија е глобален лидер во оваа димензија, која ги мери посветеноста на националната ВИ стратегија, институционалниот капацитет и координацијата на политиките. Ова директно произлегува од раното усвојување на стратегијата (2019), формирањето н</w:t>
      </w:r>
      <w:r>
        <w:rPr>
          <w:rFonts w:ascii="Times New Roman" w:hAnsi="Times New Roman" w:cs="Times New Roman"/>
          <w:color w:val="auto"/>
          <w:lang w:val="mk-MK"/>
        </w:rPr>
        <w:t xml:space="preserve">а ИВИ и претседавањето со </w:t>
      </w:r>
      <w:r>
        <w:rPr>
          <w:rFonts w:ascii="Times New Roman" w:hAnsi="Times New Roman" w:cs="Times New Roman"/>
          <w:i/>
          <w:iCs/>
          <w:color w:val="auto"/>
          <w:lang w:val="mk-MK"/>
        </w:rPr>
        <w:t>GPAI</w:t>
      </w:r>
      <w:r>
        <w:rPr>
          <w:rFonts w:ascii="Times New Roman" w:hAnsi="Times New Roman" w:cs="Times New Roman"/>
          <w:color w:val="auto"/>
          <w:lang w:val="mk-MK"/>
        </w:rPr>
        <w:t xml:space="preserve">. Резултатот за </w:t>
      </w:r>
      <w:r>
        <w:rPr>
          <w:rFonts w:ascii="Times New Roman" w:hAnsi="Times New Roman" w:cs="Times New Roman"/>
          <w:i/>
          <w:iCs/>
          <w:color w:val="auto"/>
          <w:lang w:val="mk-MK"/>
        </w:rPr>
        <w:t>Public Sector Adoption</w:t>
      </w:r>
      <w:r>
        <w:rPr>
          <w:rFonts w:ascii="Times New Roman" w:hAnsi="Times New Roman" w:cs="Times New Roman"/>
          <w:color w:val="auto"/>
          <w:lang w:val="mk-MK"/>
        </w:rPr>
        <w:t xml:space="preserve"> (83.92) исто така ја позиционира Србија во горниот квартил глобално.</w:t>
      </w:r>
    </w:p>
    <w:p w14:paraId="5EC26956" w14:textId="77777777" w:rsidR="00FE200F" w:rsidRDefault="00FE200F">
      <w:pPr>
        <w:jc w:val="both"/>
        <w:rPr>
          <w:rFonts w:ascii="Times New Roman" w:hAnsi="Times New Roman" w:cs="Times New Roman"/>
          <w:b/>
          <w:color w:val="auto"/>
          <w:lang w:val="mk-MK"/>
        </w:rPr>
      </w:pPr>
    </w:p>
    <w:p w14:paraId="634FFAE1"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 xml:space="preserve">Хрватска е на ранг 72 — значително зад Србија: </w:t>
      </w:r>
      <w:r>
        <w:rPr>
          <w:rFonts w:ascii="Times New Roman" w:hAnsi="Times New Roman" w:cs="Times New Roman"/>
          <w:color w:val="auto"/>
          <w:lang w:val="mk-MK"/>
        </w:rPr>
        <w:t xml:space="preserve">Иако е членка на ЕУ, Хрватска заостанува поради ниска </w:t>
      </w:r>
      <w:r>
        <w:rPr>
          <w:rFonts w:ascii="Times New Roman" w:hAnsi="Times New Roman" w:cs="Times New Roman"/>
          <w:i/>
          <w:iCs/>
          <w:color w:val="auto"/>
          <w:lang w:val="mk-MK"/>
        </w:rPr>
        <w:t>Policy Capacity</w:t>
      </w:r>
      <w:r>
        <w:rPr>
          <w:rFonts w:ascii="Times New Roman" w:hAnsi="Times New Roman" w:cs="Times New Roman"/>
          <w:color w:val="auto"/>
          <w:lang w:val="mk-MK"/>
        </w:rPr>
        <w:t xml:space="preserve"> </w:t>
      </w:r>
      <w:r>
        <w:rPr>
          <w:rFonts w:ascii="Times New Roman" w:hAnsi="Times New Roman" w:cs="Times New Roman"/>
          <w:color w:val="auto"/>
          <w:lang w:val="mk-MK"/>
        </w:rPr>
        <w:t xml:space="preserve">(34.50) — резултат на отсуството на финализирана национална ВИ стратегија до 2025 година. Сепак, нејзините резултати за </w:t>
      </w:r>
      <w:r>
        <w:rPr>
          <w:rFonts w:ascii="Times New Roman" w:hAnsi="Times New Roman" w:cs="Times New Roman"/>
          <w:i/>
          <w:iCs/>
          <w:color w:val="auto"/>
          <w:lang w:val="mk-MK"/>
        </w:rPr>
        <w:t>Governance</w:t>
      </w:r>
      <w:r>
        <w:rPr>
          <w:rFonts w:ascii="Times New Roman" w:hAnsi="Times New Roman" w:cs="Times New Roman"/>
          <w:color w:val="auto"/>
          <w:lang w:val="mk-MK"/>
        </w:rPr>
        <w:t xml:space="preserve"> (70.64) и </w:t>
      </w:r>
      <w:r>
        <w:rPr>
          <w:rFonts w:ascii="Times New Roman" w:hAnsi="Times New Roman" w:cs="Times New Roman"/>
          <w:i/>
          <w:iCs/>
          <w:color w:val="auto"/>
          <w:lang w:val="mk-MK"/>
        </w:rPr>
        <w:t>Public Sector Adoption</w:t>
      </w:r>
      <w:r>
        <w:rPr>
          <w:rFonts w:ascii="Times New Roman" w:hAnsi="Times New Roman" w:cs="Times New Roman"/>
          <w:color w:val="auto"/>
          <w:lang w:val="mk-MK"/>
        </w:rPr>
        <w:t xml:space="preserve"> (71.67) се солидни, поддржани од директната примена на ЕУ Актот за ВИ. Важно е да се забележ</w:t>
      </w:r>
      <w:r>
        <w:rPr>
          <w:rFonts w:ascii="Times New Roman" w:hAnsi="Times New Roman" w:cs="Times New Roman"/>
          <w:color w:val="auto"/>
          <w:lang w:val="mk-MK"/>
        </w:rPr>
        <w:t xml:space="preserve">и дека </w:t>
      </w:r>
      <w:r>
        <w:rPr>
          <w:rFonts w:ascii="Times New Roman" w:hAnsi="Times New Roman" w:cs="Times New Roman"/>
          <w:i/>
          <w:iCs/>
          <w:color w:val="auto"/>
          <w:lang w:val="mk-MK"/>
        </w:rPr>
        <w:t>CEE AI Index 2026 (AI Chamber)</w:t>
      </w:r>
      <w:r>
        <w:rPr>
          <w:rFonts w:ascii="Times New Roman" w:hAnsi="Times New Roman" w:cs="Times New Roman"/>
          <w:color w:val="auto"/>
          <w:lang w:val="mk-MK"/>
        </w:rPr>
        <w:t>, кој покрива само ЕУ членки, ја рангира Хрватска на последно место меѓу 11 земји со оценка 31.67, потврдувајќи ги слабостите во управувачкиот капацитет.</w:t>
      </w:r>
    </w:p>
    <w:p w14:paraId="0E58867F" w14:textId="77777777" w:rsidR="00FE200F" w:rsidRDefault="00FE200F">
      <w:pPr>
        <w:jc w:val="both"/>
        <w:rPr>
          <w:rFonts w:ascii="Times New Roman" w:hAnsi="Times New Roman" w:cs="Times New Roman"/>
          <w:color w:val="auto"/>
          <w:lang w:val="mk-MK"/>
        </w:rPr>
      </w:pPr>
    </w:p>
    <w:p w14:paraId="752C7A2B"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 xml:space="preserve">Северна Македонија е на ранг 107 — под регионалниот просек: </w:t>
      </w:r>
      <w:r>
        <w:rPr>
          <w:rFonts w:ascii="Times New Roman" w:hAnsi="Times New Roman" w:cs="Times New Roman"/>
          <w:color w:val="auto"/>
          <w:lang w:val="mk-MK"/>
        </w:rPr>
        <w:t>Резу</w:t>
      </w:r>
      <w:r>
        <w:rPr>
          <w:rFonts w:ascii="Times New Roman" w:hAnsi="Times New Roman" w:cs="Times New Roman"/>
          <w:color w:val="auto"/>
          <w:lang w:val="mk-MK"/>
        </w:rPr>
        <w:t xml:space="preserve">лтатите на Македонија се загрижувачки ниски во сите димензии, особено во </w:t>
      </w:r>
      <w:r>
        <w:rPr>
          <w:rFonts w:ascii="Times New Roman" w:hAnsi="Times New Roman" w:cs="Times New Roman"/>
          <w:i/>
          <w:iCs/>
          <w:color w:val="auto"/>
          <w:lang w:val="mk-MK"/>
        </w:rPr>
        <w:t>Governance</w:t>
      </w:r>
      <w:r>
        <w:rPr>
          <w:rFonts w:ascii="Times New Roman" w:hAnsi="Times New Roman" w:cs="Times New Roman"/>
          <w:color w:val="auto"/>
          <w:lang w:val="mk-MK"/>
        </w:rPr>
        <w:t xml:space="preserve"> (45.00) и </w:t>
      </w:r>
      <w:r>
        <w:rPr>
          <w:rFonts w:ascii="Times New Roman" w:hAnsi="Times New Roman" w:cs="Times New Roman"/>
          <w:i/>
          <w:iCs/>
          <w:color w:val="auto"/>
          <w:lang w:val="mk-MK"/>
        </w:rPr>
        <w:t>Public Sector Adoption</w:t>
      </w:r>
      <w:r>
        <w:rPr>
          <w:rFonts w:ascii="Times New Roman" w:hAnsi="Times New Roman" w:cs="Times New Roman"/>
          <w:color w:val="auto"/>
          <w:lang w:val="mk-MK"/>
        </w:rPr>
        <w:t xml:space="preserve"> (46.55). Единствена релативна предност е </w:t>
      </w:r>
      <w:r>
        <w:rPr>
          <w:rFonts w:ascii="Times New Roman" w:hAnsi="Times New Roman" w:cs="Times New Roman"/>
          <w:i/>
          <w:iCs/>
          <w:color w:val="auto"/>
          <w:lang w:val="mk-MK"/>
        </w:rPr>
        <w:t>Policy Capacity</w:t>
      </w:r>
      <w:r>
        <w:rPr>
          <w:rFonts w:ascii="Times New Roman" w:hAnsi="Times New Roman" w:cs="Times New Roman"/>
          <w:color w:val="auto"/>
          <w:lang w:val="mk-MK"/>
        </w:rPr>
        <w:t xml:space="preserve"> (34.50), изедначена </w:t>
      </w:r>
      <w:r>
        <w:rPr>
          <w:rFonts w:ascii="Times New Roman" w:hAnsi="Times New Roman" w:cs="Times New Roman"/>
          <w:color w:val="auto"/>
          <w:lang w:val="mk-MK"/>
        </w:rPr>
        <w:lastRenderedPageBreak/>
        <w:t>со Хрватска — но ова е поврзано со постоењето на СМАРТ/МК 2030</w:t>
      </w:r>
      <w:r>
        <w:rPr>
          <w:rFonts w:ascii="Times New Roman" w:hAnsi="Times New Roman" w:cs="Times New Roman"/>
          <w:color w:val="auto"/>
          <w:lang w:val="mk-MK"/>
        </w:rPr>
        <w:t xml:space="preserve"> стратегијата, а не со посветена ВИ стратегија. Разликата од 68 места помеѓу Македонија (107) и Србија (39) го илустрира обемот на потребниот напредок.</w:t>
      </w:r>
    </w:p>
    <w:p w14:paraId="4657C120" w14:textId="77777777" w:rsidR="00FE200F" w:rsidRDefault="00FE200F">
      <w:pPr>
        <w:jc w:val="both"/>
        <w:rPr>
          <w:rFonts w:ascii="Times New Roman" w:hAnsi="Times New Roman" w:cs="Times New Roman"/>
          <w:b/>
          <w:color w:val="auto"/>
          <w:lang w:val="mk-MK"/>
        </w:rPr>
      </w:pPr>
    </w:p>
    <w:p w14:paraId="2F98CC0E"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 xml:space="preserve">Јазот во </w:t>
      </w:r>
      <w:r>
        <w:rPr>
          <w:rFonts w:ascii="Times New Roman" w:hAnsi="Times New Roman" w:cs="Times New Roman"/>
          <w:b/>
          <w:i/>
          <w:iCs/>
          <w:color w:val="auto"/>
          <w:lang w:val="mk-MK"/>
        </w:rPr>
        <w:t>Development &amp; Diffusion</w:t>
      </w:r>
      <w:r>
        <w:rPr>
          <w:rFonts w:ascii="Times New Roman" w:hAnsi="Times New Roman" w:cs="Times New Roman"/>
          <w:b/>
          <w:color w:val="auto"/>
          <w:lang w:val="mk-MK"/>
        </w:rPr>
        <w:t xml:space="preserve"> е структурен предизвик за целиот регион: </w:t>
      </w:r>
      <w:r>
        <w:rPr>
          <w:rFonts w:ascii="Times New Roman" w:hAnsi="Times New Roman" w:cs="Times New Roman"/>
          <w:color w:val="auto"/>
          <w:lang w:val="mk-MK"/>
        </w:rPr>
        <w:t xml:space="preserve">Сите земји од регионот </w:t>
      </w:r>
      <w:r>
        <w:rPr>
          <w:rFonts w:ascii="Times New Roman" w:hAnsi="Times New Roman" w:cs="Times New Roman"/>
          <w:color w:val="auto"/>
          <w:lang w:val="mk-MK"/>
        </w:rPr>
        <w:t>бележат ниски резултати во оваа димензија (Србија 35.78, Хрватска 29.92, Македонија 24.85), која ги мери зрелоста на домашниот ВИ сектор, густината на таленти и дифузијата на технологијата. Ова укажува дека предизвикот не е само регулаторен, туку и структу</w:t>
      </w:r>
      <w:r>
        <w:rPr>
          <w:rFonts w:ascii="Times New Roman" w:hAnsi="Times New Roman" w:cs="Times New Roman"/>
          <w:color w:val="auto"/>
          <w:lang w:val="mk-MK"/>
        </w:rPr>
        <w:t>рен — поврзан со недостаток на ВИ експерти, ограничени истражувачки капацитети и слаба апсорпциска способност на приватниот сектор.</w:t>
      </w:r>
    </w:p>
    <w:p w14:paraId="13D9105A" w14:textId="77777777" w:rsidR="00FE200F" w:rsidRDefault="00FE200F">
      <w:pPr>
        <w:pStyle w:val="Heading3"/>
        <w:jc w:val="both"/>
        <w:rPr>
          <w:rFonts w:ascii="Times New Roman" w:hAnsi="Times New Roman" w:cs="Times New Roman"/>
          <w:color w:val="auto"/>
          <w:lang w:val="mk-MK"/>
        </w:rPr>
      </w:pPr>
    </w:p>
    <w:p w14:paraId="09550951" w14:textId="77777777" w:rsidR="00FE200F" w:rsidRDefault="00E77CAF">
      <w:pPr>
        <w:pStyle w:val="Heading3"/>
        <w:jc w:val="both"/>
        <w:rPr>
          <w:rFonts w:ascii="Times New Roman" w:hAnsi="Times New Roman" w:cs="Times New Roman"/>
          <w:lang w:val="mk-MK"/>
        </w:rPr>
      </w:pPr>
      <w:bookmarkStart w:id="51" w:name="_Toc240630051"/>
      <w:bookmarkStart w:id="52" w:name="_Toc243907994"/>
      <w:r>
        <w:rPr>
          <w:rFonts w:ascii="Times New Roman" w:hAnsi="Times New Roman" w:cs="Times New Roman"/>
          <w:color w:val="auto"/>
          <w:lang w:val="mk-MK"/>
        </w:rPr>
        <w:t>3.4.7 Заклучок и препораки за Стратегијата за употреба на ВИ</w:t>
      </w:r>
      <w:bookmarkEnd w:id="51"/>
      <w:bookmarkEnd w:id="52"/>
    </w:p>
    <w:p w14:paraId="1E5319E1"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 xml:space="preserve">Заклучок од компаративната анализа: </w:t>
      </w:r>
      <w:r>
        <w:rPr>
          <w:rFonts w:ascii="Times New Roman" w:hAnsi="Times New Roman" w:cs="Times New Roman"/>
          <w:color w:val="auto"/>
          <w:lang w:val="mk-MK"/>
        </w:rPr>
        <w:t>Република Северна Македони</w:t>
      </w:r>
      <w:r>
        <w:rPr>
          <w:rFonts w:ascii="Times New Roman" w:hAnsi="Times New Roman" w:cs="Times New Roman"/>
          <w:color w:val="auto"/>
          <w:lang w:val="mk-MK"/>
        </w:rPr>
        <w:t>ја се соочува со сериозен ризик од губење на регионалната конкурентност. Додека соседите градат институции, инвестираат во суперкомпјутери и усвојуваат стратегии, Северна Македонија сè уште нема основна правна рамка. Оценката од 3.5/10 ја поставува земјата</w:t>
      </w:r>
      <w:r>
        <w:rPr>
          <w:rFonts w:ascii="Times New Roman" w:hAnsi="Times New Roman" w:cs="Times New Roman"/>
          <w:color w:val="auto"/>
          <w:lang w:val="mk-MK"/>
        </w:rPr>
        <w:t xml:space="preserve"> под просекот на регионот и значително зад лидерите. За да го надомести изгубеното време, државата мора да го забрза процесот преку паралелно дејствување: истовремен развој на Стратегијата за употреба на ВИ и нацрт-Законот за ВИ, користејќи ги искуствата о</w:t>
      </w:r>
      <w:r>
        <w:rPr>
          <w:rFonts w:ascii="Times New Roman" w:hAnsi="Times New Roman" w:cs="Times New Roman"/>
          <w:color w:val="auto"/>
          <w:lang w:val="mk-MK"/>
        </w:rPr>
        <w:t>д Албанија (користење меѓународна експертиза) и Србија (фокус на институционален капацитет).</w:t>
      </w:r>
    </w:p>
    <w:p w14:paraId="7514A214"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Врз основа на регионалната компаративна анализа, се препорачуваат следните стратешки насоки:</w:t>
      </w:r>
    </w:p>
    <w:p w14:paraId="339AD533" w14:textId="77777777" w:rsidR="00FE200F" w:rsidRDefault="00E77CAF">
      <w:pPr>
        <w:pStyle w:val="ListNumber"/>
        <w:numPr>
          <w:ilvl w:val="0"/>
          <w:numId w:val="35"/>
        </w:numPr>
        <w:jc w:val="both"/>
        <w:rPr>
          <w:rFonts w:ascii="Times New Roman" w:hAnsi="Times New Roman" w:cs="Times New Roman"/>
          <w:lang w:val="mk-MK"/>
        </w:rPr>
      </w:pPr>
      <w:r>
        <w:rPr>
          <w:rFonts w:ascii="Times New Roman" w:hAnsi="Times New Roman" w:cs="Times New Roman"/>
          <w:b/>
          <w:color w:val="auto"/>
          <w:lang w:val="mk-MK"/>
        </w:rPr>
        <w:t xml:space="preserve">Институционализација по примерот на Србија: </w:t>
      </w:r>
      <w:r>
        <w:rPr>
          <w:rFonts w:ascii="Times New Roman" w:hAnsi="Times New Roman" w:cs="Times New Roman"/>
          <w:color w:val="auto"/>
          <w:lang w:val="mk-MK"/>
        </w:rPr>
        <w:t>Основање на Национален цен</w:t>
      </w:r>
      <w:r>
        <w:rPr>
          <w:rFonts w:ascii="Times New Roman" w:hAnsi="Times New Roman" w:cs="Times New Roman"/>
          <w:color w:val="auto"/>
          <w:lang w:val="mk-MK"/>
        </w:rPr>
        <w:t>тар или Институт за ВИ кој ќе служи како мост меѓу академијата и индустријата, обезбедувајќи ресурси (пресметковна инфраструктура, датасети) за стартапите и истражувачите. Формирање на Совет за ВИ при Владата со мандат за координација на имплементацијата.</w:t>
      </w:r>
    </w:p>
    <w:p w14:paraId="55F1C9A3" w14:textId="77777777" w:rsidR="00FE200F" w:rsidRDefault="00E77CAF">
      <w:pPr>
        <w:pStyle w:val="ListNumber"/>
        <w:numPr>
          <w:ilvl w:val="0"/>
          <w:numId w:val="36"/>
        </w:numPr>
        <w:jc w:val="both"/>
        <w:rPr>
          <w:rFonts w:ascii="Times New Roman" w:hAnsi="Times New Roman" w:cs="Times New Roman"/>
          <w:lang w:val="mk-MK"/>
        </w:rPr>
      </w:pPr>
      <w:r>
        <w:rPr>
          <w:rFonts w:ascii="Times New Roman" w:hAnsi="Times New Roman" w:cs="Times New Roman"/>
          <w:b/>
          <w:color w:val="auto"/>
          <w:lang w:val="mk-MK"/>
        </w:rPr>
        <w:t xml:space="preserve">Фокус на е-услуги по примерот на Албанија: </w:t>
      </w:r>
      <w:r>
        <w:rPr>
          <w:rFonts w:ascii="Times New Roman" w:hAnsi="Times New Roman" w:cs="Times New Roman"/>
          <w:color w:val="auto"/>
          <w:lang w:val="mk-MK"/>
        </w:rPr>
        <w:t>Искористување на ВИ за автоматизација на јавните услуги преку националниот портал, со цел зголемување на ефикасноста и транспарентноста. Таргет: 500 целосно трансакциски е-услуги до 2030 (РЈА). Стратешко партнерст</w:t>
      </w:r>
      <w:r>
        <w:rPr>
          <w:rFonts w:ascii="Times New Roman" w:hAnsi="Times New Roman" w:cs="Times New Roman"/>
          <w:color w:val="auto"/>
          <w:lang w:val="mk-MK"/>
        </w:rPr>
        <w:t>во со меѓународни консултанти за трансфер на знаење и забрзана имплементација.</w:t>
      </w:r>
    </w:p>
    <w:p w14:paraId="37D15053" w14:textId="77777777" w:rsidR="00FE200F" w:rsidRDefault="00E77CAF">
      <w:pPr>
        <w:pStyle w:val="ListNumber"/>
        <w:numPr>
          <w:ilvl w:val="0"/>
          <w:numId w:val="37"/>
        </w:numPr>
        <w:jc w:val="both"/>
        <w:rPr>
          <w:rFonts w:ascii="Times New Roman" w:hAnsi="Times New Roman" w:cs="Times New Roman"/>
          <w:lang w:val="mk-MK"/>
        </w:rPr>
      </w:pPr>
      <w:r>
        <w:rPr>
          <w:rFonts w:ascii="Times New Roman" w:hAnsi="Times New Roman" w:cs="Times New Roman"/>
          <w:b/>
          <w:color w:val="auto"/>
          <w:lang w:val="mk-MK"/>
        </w:rPr>
        <w:t xml:space="preserve">Поддршка на приватниот сектор по примерот на Хрватска: </w:t>
      </w:r>
      <w:r>
        <w:rPr>
          <w:rFonts w:ascii="Times New Roman" w:hAnsi="Times New Roman" w:cs="Times New Roman"/>
          <w:color w:val="auto"/>
          <w:lang w:val="mk-MK"/>
        </w:rPr>
        <w:t>Примена на моделот на „Претприемачки процес на откривање“ (</w:t>
      </w:r>
      <w:r>
        <w:rPr>
          <w:rFonts w:ascii="Times New Roman" w:hAnsi="Times New Roman" w:cs="Times New Roman"/>
          <w:i/>
          <w:iCs/>
          <w:color w:val="auto"/>
          <w:lang w:val="mk-MK"/>
        </w:rPr>
        <w:t>EDP</w:t>
      </w:r>
      <w:r>
        <w:rPr>
          <w:rFonts w:ascii="Times New Roman" w:hAnsi="Times New Roman" w:cs="Times New Roman"/>
          <w:color w:val="auto"/>
          <w:lang w:val="mk-MK"/>
        </w:rPr>
        <w:t>) за вклучување на ИКТ секторот во дефинирањето на ВИ приори</w:t>
      </w:r>
      <w:r>
        <w:rPr>
          <w:rFonts w:ascii="Times New Roman" w:hAnsi="Times New Roman" w:cs="Times New Roman"/>
          <w:color w:val="auto"/>
          <w:lang w:val="mk-MK"/>
        </w:rPr>
        <w:t>тетите. Креирање на поволна клима за ИКТ компаниите преку даночни олеснувања, грантови и регулаторни сендбокси, со цел поттикнување на развојот на домашни ВИ производи.</w:t>
      </w:r>
    </w:p>
    <w:p w14:paraId="74035F62" w14:textId="77777777" w:rsidR="00FE200F" w:rsidRPr="009C2D42" w:rsidRDefault="00E77CAF">
      <w:pPr>
        <w:pStyle w:val="ListNumber"/>
        <w:numPr>
          <w:ilvl w:val="0"/>
          <w:numId w:val="38"/>
        </w:numPr>
        <w:jc w:val="both"/>
        <w:rPr>
          <w:rFonts w:ascii="Times New Roman" w:hAnsi="Times New Roman" w:cs="Times New Roman"/>
          <w:bCs/>
          <w:lang w:val="mk-MK"/>
        </w:rPr>
      </w:pPr>
      <w:r>
        <w:rPr>
          <w:rFonts w:ascii="Times New Roman" w:hAnsi="Times New Roman" w:cs="Times New Roman"/>
          <w:b/>
          <w:color w:val="auto"/>
          <w:lang w:val="mk-MK"/>
        </w:rPr>
        <w:t xml:space="preserve">Паралелен развој на стратегија и законодавство: </w:t>
      </w:r>
      <w:r w:rsidRPr="009C2D42">
        <w:rPr>
          <w:rFonts w:ascii="Times New Roman" w:hAnsi="Times New Roman" w:cs="Times New Roman"/>
          <w:bCs/>
          <w:color w:val="auto"/>
          <w:lang w:val="mk-MK"/>
        </w:rPr>
        <w:t xml:space="preserve">Како земја кандидат, Република Северна </w:t>
      </w:r>
      <w:r w:rsidRPr="009C2D42">
        <w:rPr>
          <w:rFonts w:ascii="Times New Roman" w:hAnsi="Times New Roman" w:cs="Times New Roman"/>
          <w:bCs/>
          <w:color w:val="auto"/>
          <w:lang w:val="mk-MK"/>
        </w:rPr>
        <w:t xml:space="preserve">Македонија треба паралелно да ја спроведува Стратегијата за ВИ и да подготви национална правна рамка усогласена со acquis. Регулаторниот sandbox за ВИ треба да се воспоставува во согласност со Акцискиот план, со подготовка од Q3 2028 и </w:t>
      </w:r>
      <w:r w:rsidRPr="009C2D42">
        <w:rPr>
          <w:rFonts w:ascii="Times New Roman" w:hAnsi="Times New Roman" w:cs="Times New Roman"/>
          <w:bCs/>
          <w:color w:val="auto"/>
          <w:lang w:val="mk-MK"/>
        </w:rPr>
        <w:lastRenderedPageBreak/>
        <w:t>операционализација д</w:t>
      </w:r>
      <w:r w:rsidRPr="009C2D42">
        <w:rPr>
          <w:rFonts w:ascii="Times New Roman" w:hAnsi="Times New Roman" w:cs="Times New Roman"/>
          <w:bCs/>
          <w:color w:val="auto"/>
          <w:lang w:val="mk-MK"/>
        </w:rPr>
        <w:t>о Q4 2029, по исполнување на правните и институционалните предуслови.</w:t>
      </w:r>
    </w:p>
    <w:p w14:paraId="406F2DA2" w14:textId="77777777" w:rsidR="00FE200F" w:rsidRDefault="00E77CAF">
      <w:pPr>
        <w:pStyle w:val="ListNumber"/>
        <w:numPr>
          <w:ilvl w:val="0"/>
          <w:numId w:val="39"/>
        </w:numPr>
        <w:jc w:val="both"/>
        <w:rPr>
          <w:rFonts w:ascii="Times New Roman" w:hAnsi="Times New Roman" w:cs="Times New Roman"/>
          <w:lang w:val="mk-MK"/>
        </w:rPr>
      </w:pPr>
      <w:r>
        <w:rPr>
          <w:rFonts w:ascii="Times New Roman" w:hAnsi="Times New Roman" w:cs="Times New Roman"/>
          <w:b/>
          <w:color w:val="auto"/>
          <w:lang w:val="mk-MK"/>
        </w:rPr>
        <w:t xml:space="preserve">Регионална соработка и меѓународна интеграција: </w:t>
      </w:r>
      <w:r>
        <w:rPr>
          <w:rFonts w:ascii="Times New Roman" w:hAnsi="Times New Roman" w:cs="Times New Roman"/>
          <w:color w:val="auto"/>
          <w:lang w:val="mk-MK"/>
        </w:rPr>
        <w:t>Активно вклучување во регионалните иницијативи (</w:t>
      </w:r>
      <w:r>
        <w:rPr>
          <w:rFonts w:ascii="Times New Roman" w:hAnsi="Times New Roman" w:cs="Times New Roman"/>
          <w:i/>
          <w:iCs/>
          <w:color w:val="auto"/>
          <w:lang w:val="mk-MK"/>
        </w:rPr>
        <w:t>GPAI</w:t>
      </w:r>
      <w:r>
        <w:rPr>
          <w:rFonts w:ascii="Times New Roman" w:hAnsi="Times New Roman" w:cs="Times New Roman"/>
          <w:color w:val="auto"/>
          <w:lang w:val="mk-MK"/>
        </w:rPr>
        <w:t>, Дигитална агенда за Западен Балкан, мрежата на ЕДИХ ХАБОВИ) и искористување на фондо</w:t>
      </w:r>
      <w:r>
        <w:rPr>
          <w:rFonts w:ascii="Times New Roman" w:hAnsi="Times New Roman" w:cs="Times New Roman"/>
          <w:color w:val="auto"/>
          <w:lang w:val="mk-MK"/>
        </w:rPr>
        <w:t>вите од Планот за раст на Западен Балкан за заеднички ВИ проекти со Србија, Хрватска и Албанија. Целта е да се достигне оценка од 6.0/10 до 2028 година.</w:t>
      </w:r>
    </w:p>
    <w:p w14:paraId="0436836F" w14:textId="77777777" w:rsidR="00FE200F" w:rsidRDefault="00FE200F">
      <w:pPr>
        <w:spacing w:after="200" w:line="276" w:lineRule="auto"/>
        <w:rPr>
          <w:rFonts w:ascii="Times New Roman" w:hAnsi="Times New Roman" w:cs="Times New Roman"/>
          <w:lang w:val="mk-MK"/>
        </w:rPr>
      </w:pPr>
    </w:p>
    <w:p w14:paraId="3A5CFC29" w14:textId="77777777" w:rsidR="00FE200F" w:rsidRDefault="00E77CAF">
      <w:pPr>
        <w:pStyle w:val="Heading3"/>
        <w:jc w:val="both"/>
        <w:rPr>
          <w:rFonts w:ascii="Times New Roman" w:hAnsi="Times New Roman" w:cs="Times New Roman"/>
          <w:lang w:val="mk-MK"/>
        </w:rPr>
      </w:pPr>
      <w:bookmarkStart w:id="53" w:name="_Toc240630052"/>
      <w:bookmarkStart w:id="54" w:name="_Toc243907995"/>
      <w:r>
        <w:rPr>
          <w:rFonts w:ascii="Times New Roman" w:hAnsi="Times New Roman" w:cs="Times New Roman"/>
          <w:color w:val="auto"/>
          <w:lang w:val="mk-MK"/>
        </w:rPr>
        <w:t>Препораки за Стратегијата за употреба на ВИ</w:t>
      </w:r>
      <w:bookmarkEnd w:id="53"/>
      <w:bookmarkEnd w:id="54"/>
    </w:p>
    <w:p w14:paraId="1C428BA3" w14:textId="77777777" w:rsidR="00FE200F" w:rsidRDefault="00E77CAF">
      <w:pPr>
        <w:pStyle w:val="ListParagraph"/>
        <w:numPr>
          <w:ilvl w:val="0"/>
          <w:numId w:val="14"/>
        </w:numPr>
        <w:jc w:val="both"/>
        <w:rPr>
          <w:rFonts w:ascii="Times New Roman" w:hAnsi="Times New Roman" w:cs="Times New Roman"/>
          <w:lang w:val="mk-MK"/>
        </w:rPr>
      </w:pPr>
      <w:r>
        <w:rPr>
          <w:rFonts w:ascii="Times New Roman" w:hAnsi="Times New Roman" w:cs="Times New Roman"/>
          <w:b/>
          <w:color w:val="auto"/>
          <w:lang w:val="mk-MK"/>
        </w:rPr>
        <w:t>Ратификација и национална имплементација на CETS No. 225:</w:t>
      </w:r>
      <w:r w:rsidRPr="009C2D42">
        <w:rPr>
          <w:rFonts w:ascii="Times New Roman" w:hAnsi="Times New Roman" w:cs="Times New Roman"/>
          <w:bCs/>
          <w:color w:val="auto"/>
          <w:lang w:val="mk-MK"/>
        </w:rPr>
        <w:t xml:space="preserve"> </w:t>
      </w:r>
      <w:r w:rsidRPr="009C2D42">
        <w:rPr>
          <w:rFonts w:ascii="Times New Roman" w:hAnsi="Times New Roman" w:cs="Times New Roman"/>
          <w:bCs/>
          <w:color w:val="auto"/>
          <w:lang w:val="mk-MK"/>
        </w:rPr>
        <w:t>РСМ, како потписничка од 8 мај 2026 година, треба да подготви и спроведе постапка за ратификација и национален план за имплементација на Конвенцијата, во согласност со надлежните уставни и законски постапки.</w:t>
      </w:r>
    </w:p>
    <w:p w14:paraId="3FF39E6B" w14:textId="77777777" w:rsidR="00FE200F" w:rsidRDefault="00E77CAF">
      <w:pPr>
        <w:pStyle w:val="ListParagraph"/>
        <w:numPr>
          <w:ilvl w:val="0"/>
          <w:numId w:val="14"/>
        </w:numPr>
        <w:jc w:val="both"/>
        <w:rPr>
          <w:rFonts w:ascii="Times New Roman" w:hAnsi="Times New Roman" w:cs="Times New Roman"/>
          <w:lang w:val="mk-MK"/>
        </w:rPr>
      </w:pPr>
      <w:r>
        <w:rPr>
          <w:rFonts w:ascii="Times New Roman" w:hAnsi="Times New Roman" w:cs="Times New Roman"/>
          <w:b/>
          <w:color w:val="auto"/>
          <w:lang w:val="mk-MK"/>
        </w:rPr>
        <w:t xml:space="preserve">Подготовка за транспозиција на ЕУ Актот за ВИ: </w:t>
      </w:r>
      <w:r>
        <w:rPr>
          <w:rFonts w:ascii="Times New Roman" w:hAnsi="Times New Roman" w:cs="Times New Roman"/>
          <w:bCs/>
          <w:color w:val="auto"/>
          <w:lang w:val="mk-MK"/>
        </w:rPr>
        <w:t>Ф</w:t>
      </w:r>
      <w:r>
        <w:rPr>
          <w:rFonts w:ascii="Times New Roman" w:hAnsi="Times New Roman" w:cs="Times New Roman"/>
          <w:bCs/>
          <w:color w:val="auto"/>
          <w:lang w:val="mk-MK"/>
        </w:rPr>
        <w:t>ормирање на работна група за анализа на ЕУ Актот и подготовка на национална легислатива која ќе биде усогласена со европските барања, особено во делот на класификацијата на ризик и обврските за високоризични системи.</w:t>
      </w:r>
    </w:p>
    <w:p w14:paraId="00113D2D" w14:textId="77777777" w:rsidR="00FE200F" w:rsidRDefault="00E77CAF">
      <w:pPr>
        <w:pStyle w:val="ListParagraph"/>
        <w:numPr>
          <w:ilvl w:val="0"/>
          <w:numId w:val="14"/>
        </w:numPr>
        <w:jc w:val="both"/>
        <w:rPr>
          <w:rFonts w:ascii="Times New Roman" w:hAnsi="Times New Roman" w:cs="Times New Roman"/>
          <w:lang w:val="mk-MK"/>
        </w:rPr>
      </w:pPr>
      <w:r>
        <w:rPr>
          <w:rFonts w:ascii="Times New Roman" w:hAnsi="Times New Roman" w:cs="Times New Roman"/>
          <w:b/>
          <w:color w:val="auto"/>
          <w:lang w:val="mk-MK"/>
        </w:rPr>
        <w:t xml:space="preserve">Спроведување на УНЕСКО </w:t>
      </w:r>
      <w:r>
        <w:rPr>
          <w:rFonts w:ascii="Times New Roman" w:hAnsi="Times New Roman" w:cs="Times New Roman"/>
          <w:b/>
          <w:i/>
          <w:iCs/>
          <w:color w:val="auto"/>
          <w:lang w:val="mk-MK"/>
        </w:rPr>
        <w:t>RAM</w:t>
      </w:r>
      <w:r>
        <w:rPr>
          <w:rFonts w:ascii="Times New Roman" w:hAnsi="Times New Roman" w:cs="Times New Roman"/>
          <w:b/>
          <w:color w:val="auto"/>
          <w:lang w:val="mk-MK"/>
        </w:rPr>
        <w:t xml:space="preserve"> проценка:</w:t>
      </w:r>
      <w:r>
        <w:rPr>
          <w:rFonts w:ascii="Times New Roman" w:hAnsi="Times New Roman" w:cs="Times New Roman"/>
          <w:bCs/>
          <w:color w:val="auto"/>
          <w:lang w:val="mk-MK"/>
        </w:rPr>
        <w:t xml:space="preserve"> Ин</w:t>
      </w:r>
      <w:r>
        <w:rPr>
          <w:rFonts w:ascii="Times New Roman" w:hAnsi="Times New Roman" w:cs="Times New Roman"/>
          <w:bCs/>
          <w:color w:val="auto"/>
          <w:lang w:val="mk-MK"/>
        </w:rPr>
        <w:t>ицирање на процес за спроведување проценка за да се добие објективна слика за етичката и институционалната подготвеност на државата.</w:t>
      </w:r>
    </w:p>
    <w:p w14:paraId="306493B5" w14:textId="77777777" w:rsidR="00FE200F" w:rsidRDefault="00E77CAF">
      <w:pPr>
        <w:pStyle w:val="ListParagraph"/>
        <w:numPr>
          <w:ilvl w:val="0"/>
          <w:numId w:val="14"/>
        </w:numPr>
        <w:jc w:val="both"/>
        <w:rPr>
          <w:rFonts w:ascii="Times New Roman" w:hAnsi="Times New Roman" w:cs="Times New Roman"/>
          <w:lang w:val="mk-MK"/>
        </w:rPr>
      </w:pPr>
      <w:r>
        <w:rPr>
          <w:rFonts w:ascii="Times New Roman" w:hAnsi="Times New Roman" w:cs="Times New Roman"/>
          <w:b/>
          <w:color w:val="auto"/>
          <w:lang w:val="mk-MK"/>
        </w:rPr>
        <w:t xml:space="preserve">Воспоставување на Национален совет за ВИ: </w:t>
      </w:r>
      <w:r>
        <w:rPr>
          <w:rFonts w:ascii="Times New Roman" w:hAnsi="Times New Roman" w:cs="Times New Roman"/>
          <w:bCs/>
          <w:color w:val="auto"/>
          <w:lang w:val="mk-MK"/>
        </w:rPr>
        <w:t xml:space="preserve">Формирање на мултидисциплинарно тело кое ќе го надгледува развојот на ВИ, ќе ја </w:t>
      </w:r>
      <w:r>
        <w:rPr>
          <w:rFonts w:ascii="Times New Roman" w:hAnsi="Times New Roman" w:cs="Times New Roman"/>
          <w:bCs/>
          <w:color w:val="auto"/>
          <w:lang w:val="mk-MK"/>
        </w:rPr>
        <w:t>координира имплементацијата на стратегијата и ќе обезбеди усогласеност со меѓународните стандарди (ОЕЦД, УНЕСКО).</w:t>
      </w:r>
    </w:p>
    <w:p w14:paraId="1D834E9D" w14:textId="77777777" w:rsidR="00FE200F" w:rsidRDefault="00E77CAF">
      <w:pPr>
        <w:pStyle w:val="ListParagraph"/>
        <w:numPr>
          <w:ilvl w:val="0"/>
          <w:numId w:val="14"/>
        </w:numPr>
        <w:jc w:val="both"/>
        <w:rPr>
          <w:rFonts w:ascii="Times New Roman" w:hAnsi="Times New Roman" w:cs="Times New Roman"/>
          <w:lang w:val="mk-MK"/>
        </w:rPr>
      </w:pPr>
      <w:r>
        <w:rPr>
          <w:rFonts w:ascii="Times New Roman" w:hAnsi="Times New Roman" w:cs="Times New Roman"/>
          <w:b/>
          <w:color w:val="auto"/>
          <w:lang w:val="mk-MK"/>
        </w:rPr>
        <w:t xml:space="preserve">Развој на регулаторна средина за тестирање: </w:t>
      </w:r>
      <w:r>
        <w:rPr>
          <w:rFonts w:ascii="Times New Roman" w:hAnsi="Times New Roman" w:cs="Times New Roman"/>
          <w:bCs/>
          <w:color w:val="auto"/>
          <w:lang w:val="mk-MK"/>
        </w:rPr>
        <w:t xml:space="preserve">Креирање на контролирана средина каде македонските стартапи и компании ќе можат да тестираат </w:t>
      </w:r>
      <w:r>
        <w:rPr>
          <w:rFonts w:ascii="Times New Roman" w:hAnsi="Times New Roman" w:cs="Times New Roman"/>
          <w:bCs/>
          <w:color w:val="auto"/>
          <w:lang w:val="mk-MK"/>
        </w:rPr>
        <w:t>иновативни ВИ решенија во согласност со идните регулаторни барања.</w:t>
      </w:r>
    </w:p>
    <w:p w14:paraId="516BA591" w14:textId="77777777" w:rsidR="00FE200F" w:rsidRDefault="00E77CAF">
      <w:pPr>
        <w:spacing w:after="200" w:line="276" w:lineRule="auto"/>
        <w:rPr>
          <w:rFonts w:ascii="Times New Roman" w:hAnsi="Times New Roman" w:cs="Times New Roman"/>
          <w:color w:val="auto"/>
          <w:lang w:val="mk-MK"/>
        </w:rPr>
      </w:pPr>
      <w:r>
        <w:br w:type="page"/>
      </w:r>
    </w:p>
    <w:p w14:paraId="29BB7EEC" w14:textId="77777777" w:rsidR="00FE200F" w:rsidRDefault="00E77CAF">
      <w:pPr>
        <w:pStyle w:val="Heading2"/>
        <w:spacing w:before="0"/>
        <w:rPr>
          <w:rFonts w:ascii="Times New Roman" w:hAnsi="Times New Roman" w:cs="Times New Roman"/>
          <w:lang w:val="mk-MK"/>
        </w:rPr>
      </w:pPr>
      <w:bookmarkStart w:id="55" w:name="_Toc240630053"/>
      <w:bookmarkStart w:id="56" w:name="_Toc243907996"/>
      <w:r>
        <w:rPr>
          <w:rFonts w:ascii="Times New Roman" w:hAnsi="Times New Roman" w:cs="Times New Roman"/>
          <w:color w:val="auto"/>
          <w:lang w:val="mk-MK"/>
        </w:rPr>
        <w:lastRenderedPageBreak/>
        <w:t>II АНАЛИЗА НА СОСТОЈБАТА ВО РСМ</w:t>
      </w:r>
      <w:bookmarkEnd w:id="55"/>
      <w:bookmarkEnd w:id="56"/>
    </w:p>
    <w:p w14:paraId="1900F602" w14:textId="77777777" w:rsidR="00FE200F" w:rsidRDefault="00FE200F">
      <w:pPr>
        <w:rPr>
          <w:rFonts w:ascii="Times New Roman" w:hAnsi="Times New Roman" w:cs="Times New Roman"/>
          <w:color w:val="auto"/>
          <w:lang w:val="mk-MK"/>
        </w:rPr>
      </w:pPr>
    </w:p>
    <w:p w14:paraId="54EA6F23" w14:textId="77777777" w:rsidR="00FE200F" w:rsidRDefault="00E77CAF">
      <w:pPr>
        <w:pStyle w:val="Heading2"/>
        <w:jc w:val="center"/>
        <w:rPr>
          <w:rFonts w:ascii="Times New Roman" w:hAnsi="Times New Roman" w:cs="Times New Roman"/>
          <w:lang w:val="mk-MK"/>
        </w:rPr>
      </w:pPr>
      <w:bookmarkStart w:id="57" w:name="_Toc240630054"/>
      <w:bookmarkStart w:id="58" w:name="_Toc243907997"/>
      <w:r>
        <w:rPr>
          <w:rFonts w:ascii="Times New Roman" w:hAnsi="Times New Roman" w:cs="Times New Roman"/>
          <w:color w:val="auto"/>
          <w:sz w:val="24"/>
          <w:szCs w:val="24"/>
          <w:lang w:val="mk-MK"/>
        </w:rPr>
        <w:t>4. SWOT АНАЛИЗА</w:t>
      </w:r>
      <w:bookmarkEnd w:id="57"/>
      <w:bookmarkEnd w:id="58"/>
    </w:p>
    <w:p w14:paraId="40B66556"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Врз основа на прегледот на расположливите документите и акти, изработена е детална SWOT анализа (Силни страни, Слабости, Можности, Закани)</w:t>
      </w:r>
      <w:r>
        <w:rPr>
          <w:rFonts w:ascii="Times New Roman" w:hAnsi="Times New Roman" w:cs="Times New Roman"/>
          <w:color w:val="auto"/>
          <w:lang w:val="mk-MK"/>
        </w:rPr>
        <w:t xml:space="preserve"> за екосистемот на ВИ во Република Северна Македонија. Оваа анализа ги идентификува внатрешните капацитети и надворешните фактори кои ќе влијаат на имплементацијата на Стратегијата за употреба на ВИ.</w:t>
      </w:r>
    </w:p>
    <w:p w14:paraId="305A62FE" w14:textId="77777777" w:rsidR="00FE200F" w:rsidRDefault="00E77CAF">
      <w:pPr>
        <w:jc w:val="both"/>
        <w:rPr>
          <w:rFonts w:ascii="Times New Roman" w:hAnsi="Times New Roman" w:cs="Times New Roman"/>
          <w:color w:val="auto"/>
        </w:rPr>
      </w:pPr>
      <w:r>
        <w:rPr>
          <w:rFonts w:ascii="Times New Roman" w:hAnsi="Times New Roman" w:cs="Times New Roman"/>
          <w:noProof/>
          <w:color w:val="auto"/>
        </w:rPr>
        <w:drawing>
          <wp:anchor distT="0" distB="0" distL="0" distR="0" simplePos="0" relativeHeight="5" behindDoc="0" locked="0" layoutInCell="0" allowOverlap="1" wp14:anchorId="1832BB80" wp14:editId="6D4FE461">
            <wp:simplePos x="0" y="0"/>
            <wp:positionH relativeFrom="page">
              <wp:posOffset>499110</wp:posOffset>
            </wp:positionH>
            <wp:positionV relativeFrom="paragraph">
              <wp:posOffset>151765</wp:posOffset>
            </wp:positionV>
            <wp:extent cx="6862445" cy="3860165"/>
            <wp:effectExtent l="0" t="0" r="0" b="0"/>
            <wp:wrapNone/>
            <wp:docPr id="3"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pic:cNvPicPr>
                      <a:picLocks noChangeAspect="1" noChangeArrowheads="1"/>
                    </pic:cNvPicPr>
                  </pic:nvPicPr>
                  <pic:blipFill>
                    <a:blip r:embed="rId10"/>
                    <a:stretch>
                      <a:fillRect/>
                    </a:stretch>
                  </pic:blipFill>
                  <pic:spPr bwMode="auto">
                    <a:xfrm>
                      <a:off x="0" y="0"/>
                      <a:ext cx="6862445" cy="3860165"/>
                    </a:xfrm>
                    <a:prstGeom prst="rect">
                      <a:avLst/>
                    </a:prstGeom>
                  </pic:spPr>
                </pic:pic>
              </a:graphicData>
            </a:graphic>
          </wp:anchor>
        </w:drawing>
      </w:r>
    </w:p>
    <w:p w14:paraId="16948072" w14:textId="77777777" w:rsidR="00FE200F" w:rsidRDefault="00FE200F">
      <w:pPr>
        <w:jc w:val="both"/>
        <w:rPr>
          <w:rFonts w:ascii="Times New Roman" w:hAnsi="Times New Roman" w:cs="Times New Roman"/>
          <w:color w:val="auto"/>
          <w:lang w:val="mk-MK"/>
        </w:rPr>
      </w:pPr>
    </w:p>
    <w:p w14:paraId="5A10448B" w14:textId="77777777" w:rsidR="00FE200F" w:rsidRDefault="00FE200F">
      <w:pPr>
        <w:jc w:val="both"/>
        <w:rPr>
          <w:rFonts w:ascii="Times New Roman" w:hAnsi="Times New Roman" w:cs="Times New Roman"/>
          <w:color w:val="auto"/>
          <w:lang w:val="mk-MK"/>
        </w:rPr>
      </w:pPr>
    </w:p>
    <w:p w14:paraId="3D226C00" w14:textId="77777777" w:rsidR="00FE200F" w:rsidRDefault="00FE200F">
      <w:pPr>
        <w:jc w:val="both"/>
        <w:rPr>
          <w:rFonts w:ascii="Times New Roman" w:hAnsi="Times New Roman" w:cs="Times New Roman"/>
          <w:color w:val="auto"/>
          <w:lang w:val="mk-MK"/>
        </w:rPr>
      </w:pPr>
    </w:p>
    <w:p w14:paraId="6C961E3B" w14:textId="77777777" w:rsidR="00FE200F" w:rsidRDefault="00FE200F">
      <w:pPr>
        <w:jc w:val="both"/>
        <w:rPr>
          <w:rFonts w:ascii="Times New Roman" w:hAnsi="Times New Roman" w:cs="Times New Roman"/>
          <w:color w:val="auto"/>
          <w:lang w:val="mk-MK"/>
        </w:rPr>
      </w:pPr>
    </w:p>
    <w:p w14:paraId="56129C4B" w14:textId="77777777" w:rsidR="00FE200F" w:rsidRDefault="00FE200F">
      <w:pPr>
        <w:jc w:val="both"/>
        <w:rPr>
          <w:rFonts w:ascii="Times New Roman" w:hAnsi="Times New Roman" w:cs="Times New Roman"/>
          <w:color w:val="auto"/>
          <w:lang w:val="mk-MK"/>
        </w:rPr>
      </w:pPr>
    </w:p>
    <w:p w14:paraId="2302C170" w14:textId="77777777" w:rsidR="00FE200F" w:rsidRDefault="00FE200F">
      <w:pPr>
        <w:jc w:val="both"/>
        <w:rPr>
          <w:rFonts w:ascii="Times New Roman" w:hAnsi="Times New Roman" w:cs="Times New Roman"/>
          <w:color w:val="auto"/>
          <w:lang w:val="mk-MK"/>
        </w:rPr>
      </w:pPr>
    </w:p>
    <w:p w14:paraId="3BC3B783" w14:textId="77777777" w:rsidR="00FE200F" w:rsidRDefault="00FE200F">
      <w:pPr>
        <w:jc w:val="both"/>
        <w:rPr>
          <w:rFonts w:ascii="Times New Roman" w:hAnsi="Times New Roman" w:cs="Times New Roman"/>
          <w:color w:val="auto"/>
          <w:lang w:val="mk-MK"/>
        </w:rPr>
      </w:pPr>
    </w:p>
    <w:p w14:paraId="5E63DD8D" w14:textId="77777777" w:rsidR="00FE200F" w:rsidRDefault="00FE200F">
      <w:pPr>
        <w:jc w:val="both"/>
        <w:rPr>
          <w:rFonts w:ascii="Times New Roman" w:hAnsi="Times New Roman" w:cs="Times New Roman"/>
          <w:color w:val="auto"/>
          <w:lang w:val="mk-MK"/>
        </w:rPr>
      </w:pPr>
    </w:p>
    <w:p w14:paraId="38375692" w14:textId="77777777" w:rsidR="00FE200F" w:rsidRDefault="00FE200F">
      <w:pPr>
        <w:jc w:val="both"/>
        <w:rPr>
          <w:rFonts w:ascii="Times New Roman" w:hAnsi="Times New Roman" w:cs="Times New Roman"/>
          <w:color w:val="auto"/>
          <w:lang w:val="mk-MK"/>
        </w:rPr>
      </w:pPr>
    </w:p>
    <w:p w14:paraId="3E00EB8B" w14:textId="77777777" w:rsidR="00FE200F" w:rsidRDefault="00FE200F">
      <w:pPr>
        <w:jc w:val="both"/>
        <w:rPr>
          <w:rFonts w:ascii="Times New Roman" w:hAnsi="Times New Roman" w:cs="Times New Roman"/>
          <w:color w:val="auto"/>
          <w:lang w:val="mk-MK"/>
        </w:rPr>
      </w:pPr>
    </w:p>
    <w:p w14:paraId="4458F86E" w14:textId="77777777" w:rsidR="00FE200F" w:rsidRDefault="00FE200F">
      <w:pPr>
        <w:jc w:val="both"/>
        <w:rPr>
          <w:rFonts w:ascii="Times New Roman" w:hAnsi="Times New Roman" w:cs="Times New Roman"/>
          <w:color w:val="auto"/>
          <w:lang w:val="mk-MK"/>
        </w:rPr>
      </w:pPr>
    </w:p>
    <w:p w14:paraId="243F71FF" w14:textId="77777777" w:rsidR="00FE200F" w:rsidRDefault="00FE200F">
      <w:pPr>
        <w:jc w:val="both"/>
        <w:rPr>
          <w:rFonts w:ascii="Times New Roman" w:hAnsi="Times New Roman" w:cs="Times New Roman"/>
          <w:color w:val="auto"/>
          <w:lang w:val="mk-MK"/>
        </w:rPr>
      </w:pPr>
    </w:p>
    <w:p w14:paraId="31051BE7" w14:textId="77777777" w:rsidR="00FE200F" w:rsidRDefault="00FE200F">
      <w:pPr>
        <w:jc w:val="both"/>
        <w:rPr>
          <w:rFonts w:ascii="Times New Roman" w:hAnsi="Times New Roman" w:cs="Times New Roman"/>
          <w:color w:val="auto"/>
          <w:lang w:val="mk-MK"/>
        </w:rPr>
      </w:pPr>
    </w:p>
    <w:p w14:paraId="2C0C45B6" w14:textId="77777777" w:rsidR="00FE200F" w:rsidRDefault="00FE200F">
      <w:pPr>
        <w:jc w:val="both"/>
        <w:rPr>
          <w:rFonts w:ascii="Times New Roman" w:hAnsi="Times New Roman" w:cs="Times New Roman"/>
          <w:color w:val="auto"/>
          <w:lang w:val="mk-MK"/>
        </w:rPr>
      </w:pPr>
    </w:p>
    <w:p w14:paraId="6DDB13F5" w14:textId="77777777" w:rsidR="00FE200F" w:rsidRDefault="00FE200F">
      <w:pPr>
        <w:jc w:val="both"/>
        <w:rPr>
          <w:rFonts w:ascii="Times New Roman" w:hAnsi="Times New Roman" w:cs="Times New Roman"/>
          <w:color w:val="auto"/>
        </w:rPr>
      </w:pPr>
    </w:p>
    <w:p w14:paraId="08998ABB" w14:textId="77777777" w:rsidR="00FE200F" w:rsidRDefault="00E77CAF">
      <w:pPr>
        <w:pStyle w:val="Caption"/>
        <w:jc w:val="both"/>
        <w:rPr>
          <w:rFonts w:ascii="Times New Roman" w:hAnsi="Times New Roman" w:cs="Times New Roman"/>
          <w:lang w:val="mk-MK"/>
        </w:rPr>
      </w:pPr>
      <w:r>
        <w:rPr>
          <w:rFonts w:ascii="Times New Roman" w:hAnsi="Times New Roman" w:cs="Times New Roman"/>
          <w:color w:val="auto"/>
          <w:lang w:val="mk-MK"/>
        </w:rPr>
        <w:t>Графикон 3: SWOT Матрица – Вештачка инт</w:t>
      </w:r>
      <w:r>
        <w:rPr>
          <w:rFonts w:ascii="Times New Roman" w:hAnsi="Times New Roman" w:cs="Times New Roman"/>
          <w:color w:val="auto"/>
          <w:lang w:val="mk-MK"/>
        </w:rPr>
        <w:t>елигенција во Република Северна Македонија</w:t>
      </w:r>
    </w:p>
    <w:p w14:paraId="056BCAA1" w14:textId="77777777" w:rsidR="00FE200F" w:rsidRDefault="00E77CAF">
      <w:pPr>
        <w:pStyle w:val="Heading3"/>
        <w:rPr>
          <w:rFonts w:ascii="Times New Roman" w:hAnsi="Times New Roman" w:cs="Times New Roman"/>
          <w:lang w:val="mk-MK"/>
        </w:rPr>
      </w:pPr>
      <w:bookmarkStart w:id="59" w:name="_Toc240630055"/>
      <w:bookmarkStart w:id="60" w:name="_Toc243907998"/>
      <w:r>
        <w:rPr>
          <w:rFonts w:ascii="Times New Roman" w:hAnsi="Times New Roman" w:cs="Times New Roman"/>
          <w:color w:val="auto"/>
          <w:lang w:val="mk-MK"/>
        </w:rPr>
        <w:t>4.1 Силни страни - Внатрешни позитивни фактори</w:t>
      </w:r>
      <w:bookmarkEnd w:id="59"/>
      <w:bookmarkEnd w:id="60"/>
    </w:p>
    <w:p w14:paraId="134939CA" w14:textId="77777777" w:rsidR="00FE200F" w:rsidRDefault="00E77CAF">
      <w:pPr>
        <w:pStyle w:val="Heading4"/>
        <w:jc w:val="both"/>
        <w:rPr>
          <w:rFonts w:ascii="Times New Roman" w:hAnsi="Times New Roman" w:cs="Times New Roman"/>
          <w:lang w:val="mk-MK"/>
        </w:rPr>
      </w:pPr>
      <w:r>
        <w:rPr>
          <w:rFonts w:ascii="Times New Roman" w:hAnsi="Times New Roman" w:cs="Times New Roman"/>
          <w:i w:val="0"/>
          <w:iCs w:val="0"/>
          <w:color w:val="auto"/>
          <w:lang w:val="mk-MK"/>
        </w:rPr>
        <w:t>С1: Голем и брзорастечки ИКТ сектор како економски мотор</w:t>
      </w:r>
    </w:p>
    <w:p w14:paraId="7B3AAFCE"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ИКТ секторот е најбрзорастечката гранка во македонската економија. Во 2024 година, секторот брои 2.921 </w:t>
      </w:r>
      <w:r>
        <w:rPr>
          <w:rFonts w:ascii="Times New Roman" w:hAnsi="Times New Roman" w:cs="Times New Roman"/>
          <w:color w:val="auto"/>
          <w:lang w:val="mk-MK"/>
        </w:rPr>
        <w:t>компании, вработува 23.948 ИТ професионалци и генерира извоз од 664 милиони евра (Министерство за дигитална трансформација, 2024). Овој континуиран раст (зголемување на извозот за 58% од 2021 година) претставува солидна финансиска и технолошка база. Компан</w:t>
      </w:r>
      <w:r>
        <w:rPr>
          <w:rFonts w:ascii="Times New Roman" w:hAnsi="Times New Roman" w:cs="Times New Roman"/>
          <w:color w:val="auto"/>
          <w:lang w:val="mk-MK"/>
        </w:rPr>
        <w:t>иите веќе поседуваат напредно знаење во софтверско инженерство кое релативно лесно може да се насочи кон развој на ВИ решенија.</w:t>
      </w:r>
    </w:p>
    <w:p w14:paraId="15775F3C" w14:textId="77777777" w:rsidR="00FE200F" w:rsidRDefault="00FE200F">
      <w:pPr>
        <w:jc w:val="both"/>
        <w:rPr>
          <w:rFonts w:ascii="Times New Roman" w:hAnsi="Times New Roman" w:cs="Times New Roman"/>
          <w:color w:val="auto"/>
          <w:lang w:val="mk-MK"/>
        </w:rPr>
      </w:pPr>
    </w:p>
    <w:p w14:paraId="1F8D3BC5" w14:textId="77777777" w:rsidR="00FE200F" w:rsidRDefault="00E77CAF">
      <w:pPr>
        <w:pStyle w:val="Heading4"/>
        <w:jc w:val="both"/>
        <w:rPr>
          <w:rFonts w:ascii="Times New Roman" w:hAnsi="Times New Roman" w:cs="Times New Roman"/>
          <w:lang w:val="mk-MK"/>
        </w:rPr>
      </w:pPr>
      <w:r>
        <w:rPr>
          <w:rFonts w:ascii="Times New Roman" w:hAnsi="Times New Roman" w:cs="Times New Roman"/>
          <w:i w:val="0"/>
          <w:iCs w:val="0"/>
          <w:color w:val="auto"/>
          <w:lang w:val="mk-MK"/>
        </w:rPr>
        <w:lastRenderedPageBreak/>
        <w:t>С2: Воспоставена сеопфатна стратешка рамка</w:t>
      </w:r>
    </w:p>
    <w:p w14:paraId="083AA62C"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Државата веќе има усвоено клучни стратешки документи кои ја препознаваат важноста на</w:t>
      </w:r>
      <w:r>
        <w:rPr>
          <w:rFonts w:ascii="Times New Roman" w:hAnsi="Times New Roman" w:cs="Times New Roman"/>
          <w:color w:val="auto"/>
          <w:lang w:val="mk-MK"/>
        </w:rPr>
        <w:t xml:space="preserve"> дигитализацијата. Националната развојна стратегија (НРС 2024–2044), СМАРТ/МК 2030 и Стратегијата за паметна специјализација (С3) обезбедуваат јасна стратешка насока. Ова значи дека Стратегијата за употреба на ВИ не се гради во вакуум, туку може директно д</w:t>
      </w:r>
      <w:r>
        <w:rPr>
          <w:rFonts w:ascii="Times New Roman" w:hAnsi="Times New Roman" w:cs="Times New Roman"/>
          <w:color w:val="auto"/>
          <w:lang w:val="mk-MK"/>
        </w:rPr>
        <w:t>а се надоврзе на веќе дефинираните национални приоритети и буџетски проекции.</w:t>
      </w:r>
    </w:p>
    <w:p w14:paraId="4D05A2E7" w14:textId="77777777" w:rsidR="00FE200F" w:rsidRDefault="00FE200F">
      <w:pPr>
        <w:jc w:val="both"/>
        <w:rPr>
          <w:rFonts w:ascii="Times New Roman" w:hAnsi="Times New Roman" w:cs="Times New Roman"/>
          <w:color w:val="auto"/>
          <w:lang w:val="mk-MK"/>
        </w:rPr>
      </w:pPr>
    </w:p>
    <w:p w14:paraId="6C47453E" w14:textId="77777777" w:rsidR="00FE200F" w:rsidRDefault="00E77CAF">
      <w:pPr>
        <w:pStyle w:val="Heading4"/>
        <w:jc w:val="both"/>
        <w:rPr>
          <w:rFonts w:ascii="Times New Roman" w:hAnsi="Times New Roman" w:cs="Times New Roman"/>
          <w:lang w:val="mk-MK"/>
        </w:rPr>
      </w:pPr>
      <w:r>
        <w:rPr>
          <w:rFonts w:ascii="Times New Roman" w:hAnsi="Times New Roman" w:cs="Times New Roman"/>
          <w:i w:val="0"/>
          <w:iCs w:val="0"/>
          <w:color w:val="auto"/>
          <w:lang w:val="mk-MK"/>
        </w:rPr>
        <w:t>С3: Централизирана институционална структура (МДТ)</w:t>
      </w:r>
    </w:p>
    <w:p w14:paraId="053846C0"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Формирањето на Министерството за дигитална трансформација (МДТ) во 2024 година претставува значајна институционална предност. </w:t>
      </w:r>
      <w:r>
        <w:rPr>
          <w:rFonts w:ascii="Times New Roman" w:hAnsi="Times New Roman" w:cs="Times New Roman"/>
          <w:color w:val="auto"/>
          <w:lang w:val="mk-MK"/>
        </w:rPr>
        <w:t>За разлика од претходно кога дигиталните политики беа расцепкани низ повеќе институции, МДТ обезбедува централизиран, фокусиран и политички моќен пристап кон дигиталната трансформација. Ова овозможува побрзо носење на одлуки и поефикасна координација на ин</w:t>
      </w:r>
      <w:r>
        <w:rPr>
          <w:rFonts w:ascii="Times New Roman" w:hAnsi="Times New Roman" w:cs="Times New Roman"/>
          <w:color w:val="auto"/>
          <w:lang w:val="mk-MK"/>
        </w:rPr>
        <w:t>ицијативите за ВИ низ целата јавна администрација.</w:t>
      </w:r>
    </w:p>
    <w:p w14:paraId="5AFEE487" w14:textId="77777777" w:rsidR="00FE200F" w:rsidRDefault="00FE200F">
      <w:pPr>
        <w:jc w:val="both"/>
        <w:rPr>
          <w:rFonts w:ascii="Times New Roman" w:hAnsi="Times New Roman" w:cs="Times New Roman"/>
          <w:color w:val="auto"/>
          <w:lang w:val="mk-MK"/>
        </w:rPr>
      </w:pPr>
    </w:p>
    <w:p w14:paraId="7F91F265" w14:textId="77777777" w:rsidR="00FE200F" w:rsidRDefault="00E77CAF">
      <w:pPr>
        <w:pStyle w:val="Heading4"/>
        <w:jc w:val="both"/>
        <w:rPr>
          <w:rFonts w:ascii="Times New Roman" w:hAnsi="Times New Roman" w:cs="Times New Roman"/>
          <w:lang w:val="mk-MK"/>
        </w:rPr>
      </w:pPr>
      <w:r>
        <w:rPr>
          <w:rFonts w:ascii="Times New Roman" w:hAnsi="Times New Roman" w:cs="Times New Roman"/>
          <w:i w:val="0"/>
          <w:iCs w:val="0"/>
          <w:color w:val="auto"/>
          <w:lang w:val="mk-MK"/>
        </w:rPr>
        <w:t>С4: Солидни академски капацитети и истражувачки потенцијал</w:t>
      </w:r>
    </w:p>
    <w:p w14:paraId="1D0D075A"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Врвниот научен и истражувачки кадар на ФИНКИ, ФЕИТ, Економски Факултет и други факултети  во регионот продуцираат висококвалитетен кадар веќе има</w:t>
      </w:r>
      <w:r>
        <w:rPr>
          <w:rFonts w:ascii="Times New Roman" w:hAnsi="Times New Roman" w:cs="Times New Roman"/>
          <w:color w:val="auto"/>
          <w:lang w:val="mk-MK"/>
        </w:rPr>
        <w:t xml:space="preserve"> воспоставено истражувачки лаборатории и проекти во областа на машинското учење, обработката на природни јазици </w:t>
      </w:r>
      <w:r>
        <w:rPr>
          <w:rFonts w:ascii="Times New Roman" w:hAnsi="Times New Roman" w:cs="Times New Roman"/>
          <w:color w:val="auto"/>
          <w:lang w:val="en-GB"/>
        </w:rPr>
        <w:t>(</w:t>
      </w:r>
      <w:r>
        <w:rPr>
          <w:rFonts w:ascii="Times New Roman" w:hAnsi="Times New Roman" w:cs="Times New Roman"/>
          <w:i/>
          <w:iCs/>
          <w:color w:val="auto"/>
          <w:lang w:val="en-GB"/>
        </w:rPr>
        <w:t>NLP</w:t>
      </w:r>
      <w:r>
        <w:rPr>
          <w:rFonts w:ascii="Times New Roman" w:hAnsi="Times New Roman" w:cs="Times New Roman"/>
          <w:color w:val="auto"/>
          <w:lang w:val="en-GB"/>
        </w:rPr>
        <w:t>)</w:t>
      </w:r>
      <w:r>
        <w:rPr>
          <w:rFonts w:ascii="Times New Roman" w:hAnsi="Times New Roman" w:cs="Times New Roman"/>
          <w:color w:val="auto"/>
          <w:lang w:val="mk-MK"/>
        </w:rPr>
        <w:t xml:space="preserve"> и компјутерска визија. Овој академски капацитет е клучен за едукација на идната генерација ВИ инженери и за спроведување на фундаментални истражувања.</w:t>
      </w:r>
    </w:p>
    <w:p w14:paraId="17DFC883" w14:textId="77777777" w:rsidR="00FE200F" w:rsidRDefault="00FE200F">
      <w:pPr>
        <w:jc w:val="both"/>
        <w:rPr>
          <w:rFonts w:ascii="Times New Roman" w:hAnsi="Times New Roman" w:cs="Times New Roman"/>
          <w:color w:val="auto"/>
          <w:lang w:val="mk-MK"/>
        </w:rPr>
      </w:pPr>
    </w:p>
    <w:p w14:paraId="7F1C01A2"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С5: Усогласеност на Законот за заштита на лични податоци (ЗЗЛП)</w:t>
      </w:r>
    </w:p>
    <w:p w14:paraId="70779EF5"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Постојниот Закон за заштита на личните </w:t>
      </w:r>
      <w:r>
        <w:rPr>
          <w:rFonts w:ascii="Times New Roman" w:hAnsi="Times New Roman" w:cs="Times New Roman"/>
          <w:color w:val="auto"/>
          <w:lang w:val="mk-MK"/>
        </w:rPr>
        <w:t>податоци е веќе целосно усогласен со Европската регулатива за заштита на податоци (</w:t>
      </w:r>
      <w:r>
        <w:rPr>
          <w:rFonts w:ascii="Times New Roman" w:hAnsi="Times New Roman" w:cs="Times New Roman"/>
          <w:i/>
          <w:iCs/>
          <w:color w:val="auto"/>
          <w:lang w:val="mk-MK"/>
        </w:rPr>
        <w:t>GDPR</w:t>
      </w:r>
      <w:r>
        <w:rPr>
          <w:rFonts w:ascii="Times New Roman" w:hAnsi="Times New Roman" w:cs="Times New Roman"/>
          <w:color w:val="auto"/>
          <w:lang w:val="mk-MK"/>
        </w:rPr>
        <w:t>). Бидејќи ВИ системите се базираат на масовна обработка на податоци, постоењето на строга и ЕУ-усогласена рамка за приватност претставува огромна предност. Ова значи де</w:t>
      </w:r>
      <w:r>
        <w:rPr>
          <w:rFonts w:ascii="Times New Roman" w:hAnsi="Times New Roman" w:cs="Times New Roman"/>
          <w:color w:val="auto"/>
          <w:lang w:val="mk-MK"/>
        </w:rPr>
        <w:t>ка македонските компании кои развиваат ВИ модели веќе работат во правна средина која ги почитува европските стандарди за приватност.</w:t>
      </w:r>
    </w:p>
    <w:p w14:paraId="381A07A1" w14:textId="77777777" w:rsidR="00FE200F" w:rsidRDefault="00FE200F">
      <w:pPr>
        <w:jc w:val="both"/>
        <w:rPr>
          <w:rFonts w:ascii="Times New Roman" w:hAnsi="Times New Roman" w:cs="Times New Roman"/>
          <w:color w:val="auto"/>
          <w:lang w:val="mk-MK"/>
        </w:rPr>
      </w:pPr>
    </w:p>
    <w:p w14:paraId="59A3713F"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С6: Активен и поддржан стартап екосистем</w:t>
      </w:r>
    </w:p>
    <w:p w14:paraId="6E3C5BD8"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Државата располага со развиен екосистем за поддршка на иновации. Институциите как</w:t>
      </w:r>
      <w:r>
        <w:rPr>
          <w:rFonts w:ascii="Times New Roman" w:hAnsi="Times New Roman" w:cs="Times New Roman"/>
          <w:color w:val="auto"/>
          <w:lang w:val="mk-MK"/>
        </w:rPr>
        <w:t>о ИНОВА, Бизнис акцелераторот на УКИМ (БАУ), Центарот за трансфер на технологии и иновации (ИНОФЕИТ), заедно со приватните акцелератори (</w:t>
      </w:r>
      <w:r>
        <w:rPr>
          <w:rFonts w:ascii="Times New Roman" w:hAnsi="Times New Roman" w:cs="Times New Roman"/>
          <w:i/>
          <w:iCs/>
          <w:color w:val="auto"/>
          <w:lang w:val="mk-MK"/>
        </w:rPr>
        <w:t>Seavus Accelerator, CEED Hub, X Factor</w:t>
      </w:r>
      <w:r>
        <w:rPr>
          <w:rFonts w:ascii="Times New Roman" w:hAnsi="Times New Roman" w:cs="Times New Roman"/>
          <w:color w:val="auto"/>
          <w:lang w:val="mk-MK"/>
        </w:rPr>
        <w:t>), нудат финансиска и менторска поддршка за рана фаза на развој. Оваа инфраструкт</w:t>
      </w:r>
      <w:r>
        <w:rPr>
          <w:rFonts w:ascii="Times New Roman" w:hAnsi="Times New Roman" w:cs="Times New Roman"/>
          <w:color w:val="auto"/>
          <w:lang w:val="mk-MK"/>
        </w:rPr>
        <w:t xml:space="preserve">ура може лесно да се пренасочи кон таргетирано финансирање на </w:t>
      </w:r>
      <w:r>
        <w:rPr>
          <w:rFonts w:ascii="Times New Roman" w:hAnsi="Times New Roman" w:cs="Times New Roman"/>
          <w:i/>
          <w:iCs/>
          <w:color w:val="auto"/>
          <w:lang w:val="mk-MK"/>
        </w:rPr>
        <w:t>deep-tech</w:t>
      </w:r>
      <w:r>
        <w:rPr>
          <w:rFonts w:ascii="Times New Roman" w:hAnsi="Times New Roman" w:cs="Times New Roman"/>
          <w:color w:val="auto"/>
          <w:lang w:val="mk-MK"/>
        </w:rPr>
        <w:t xml:space="preserve"> и ВИ стартапи кои развиваат иновативни решенија.</w:t>
      </w:r>
    </w:p>
    <w:p w14:paraId="1C9C6522" w14:textId="77777777" w:rsidR="00FE200F" w:rsidRDefault="00FE200F">
      <w:pPr>
        <w:jc w:val="both"/>
        <w:rPr>
          <w:rFonts w:ascii="Times New Roman" w:hAnsi="Times New Roman" w:cs="Times New Roman"/>
          <w:color w:val="auto"/>
          <w:lang w:val="mk-MK"/>
        </w:rPr>
      </w:pPr>
    </w:p>
    <w:p w14:paraId="36E07FFA"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С7: Висока пенетрација на широкопојасен интернет</w:t>
      </w:r>
    </w:p>
    <w:p w14:paraId="5D9A5D41"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lastRenderedPageBreak/>
        <w:t>Според податоците на Меѓународната телекомуникациска унија (</w:t>
      </w:r>
      <w:r>
        <w:rPr>
          <w:rFonts w:ascii="Times New Roman" w:hAnsi="Times New Roman" w:cs="Times New Roman"/>
          <w:i/>
          <w:iCs/>
          <w:color w:val="auto"/>
          <w:lang w:val="mk-MK"/>
        </w:rPr>
        <w:t>ITU</w:t>
      </w:r>
      <w:r>
        <w:rPr>
          <w:rFonts w:ascii="Times New Roman" w:hAnsi="Times New Roman" w:cs="Times New Roman"/>
          <w:color w:val="auto"/>
          <w:lang w:val="mk-MK"/>
        </w:rPr>
        <w:t>), Република Северна М</w:t>
      </w:r>
      <w:r>
        <w:rPr>
          <w:rFonts w:ascii="Times New Roman" w:hAnsi="Times New Roman" w:cs="Times New Roman"/>
          <w:color w:val="auto"/>
          <w:lang w:val="mk-MK"/>
        </w:rPr>
        <w:t>акедонија има  висока покриеност со широкопојасен интернет, дури и во руралните средини. Оваа цврста телекомуникациска инфраструктура е основен предуслов за испорака на дигитални и ВИ-базирани е-услуги до сите граѓани, спречувајќи го продлабочувањето на ди</w:t>
      </w:r>
      <w:r>
        <w:rPr>
          <w:rFonts w:ascii="Times New Roman" w:hAnsi="Times New Roman" w:cs="Times New Roman"/>
          <w:color w:val="auto"/>
          <w:lang w:val="mk-MK"/>
        </w:rPr>
        <w:t>гиталниот јаз.</w:t>
      </w:r>
    </w:p>
    <w:p w14:paraId="05F872BD" w14:textId="77777777" w:rsidR="00FE200F" w:rsidRDefault="00FE200F">
      <w:pPr>
        <w:jc w:val="both"/>
        <w:rPr>
          <w:rFonts w:ascii="Times New Roman" w:hAnsi="Times New Roman" w:cs="Times New Roman"/>
          <w:color w:val="auto"/>
          <w:lang w:val="mk-MK"/>
        </w:rPr>
      </w:pPr>
    </w:p>
    <w:p w14:paraId="27567442" w14:textId="77777777" w:rsidR="00FE200F" w:rsidRDefault="00E77CAF">
      <w:pPr>
        <w:jc w:val="both"/>
        <w:rPr>
          <w:rFonts w:ascii="Times New Roman" w:hAnsi="Times New Roman" w:cs="Times New Roman"/>
          <w:lang w:val="mk-MK"/>
        </w:rPr>
      </w:pPr>
      <w:r>
        <w:rPr>
          <w:rFonts w:ascii="Times New Roman" w:hAnsi="Times New Roman" w:cs="Times New Roman"/>
          <w:b/>
          <w:bCs/>
          <w:color w:val="auto"/>
          <w:lang w:val="mk-MK"/>
        </w:rPr>
        <w:t xml:space="preserve">С8: Компаративна предност во </w:t>
      </w:r>
      <w:r>
        <w:rPr>
          <w:rFonts w:ascii="Times New Roman" w:hAnsi="Times New Roman" w:cs="Times New Roman"/>
          <w:b/>
          <w:bCs/>
          <w:i/>
          <w:iCs/>
          <w:color w:val="auto"/>
          <w:lang w:val="mk-MK"/>
        </w:rPr>
        <w:t>управување</w:t>
      </w:r>
      <w:r>
        <w:rPr>
          <w:rFonts w:ascii="Times New Roman" w:hAnsi="Times New Roman" w:cs="Times New Roman"/>
          <w:b/>
          <w:bCs/>
          <w:color w:val="auto"/>
          <w:lang w:val="mk-MK"/>
        </w:rPr>
        <w:t xml:space="preserve"> и заштита на лични податоци</w:t>
      </w:r>
    </w:p>
    <w:p w14:paraId="3AB6D946"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Иако Македонија заостанува во повеќето димензии на </w:t>
      </w:r>
      <w:r>
        <w:rPr>
          <w:rFonts w:ascii="Times New Roman" w:hAnsi="Times New Roman" w:cs="Times New Roman"/>
          <w:i/>
          <w:iCs/>
          <w:color w:val="auto"/>
          <w:lang w:val="mk-MK"/>
        </w:rPr>
        <w:t>Oxford Insights Government AI Readiness Index 2025</w:t>
      </w:r>
      <w:r>
        <w:rPr>
          <w:rFonts w:ascii="Times New Roman" w:hAnsi="Times New Roman" w:cs="Times New Roman"/>
          <w:color w:val="auto"/>
          <w:lang w:val="mk-MK"/>
        </w:rPr>
        <w:t xml:space="preserve">, нејзиниот </w:t>
      </w:r>
      <w:r>
        <w:rPr>
          <w:rFonts w:ascii="Times New Roman" w:hAnsi="Times New Roman" w:cs="Times New Roman"/>
          <w:i/>
          <w:iCs/>
          <w:color w:val="auto"/>
          <w:lang w:val="mk-MK"/>
        </w:rPr>
        <w:t>Governance score</w:t>
      </w:r>
      <w:r>
        <w:rPr>
          <w:rFonts w:ascii="Times New Roman" w:hAnsi="Times New Roman" w:cs="Times New Roman"/>
          <w:color w:val="auto"/>
          <w:lang w:val="mk-MK"/>
        </w:rPr>
        <w:t xml:space="preserve"> од 45.00/100 е нејзиниот  највисок резулта</w:t>
      </w:r>
      <w:r>
        <w:rPr>
          <w:rFonts w:ascii="Times New Roman" w:hAnsi="Times New Roman" w:cs="Times New Roman"/>
          <w:color w:val="auto"/>
          <w:lang w:val="mk-MK"/>
        </w:rPr>
        <w:t xml:space="preserve">т, повисок од </w:t>
      </w:r>
      <w:r>
        <w:rPr>
          <w:rFonts w:ascii="Times New Roman" w:hAnsi="Times New Roman" w:cs="Times New Roman"/>
          <w:i/>
          <w:iCs/>
          <w:color w:val="auto"/>
          <w:lang w:val="mk-MK"/>
        </w:rPr>
        <w:t>Policy Capacity</w:t>
      </w:r>
      <w:r>
        <w:rPr>
          <w:rFonts w:ascii="Times New Roman" w:hAnsi="Times New Roman" w:cs="Times New Roman"/>
          <w:color w:val="auto"/>
          <w:lang w:val="mk-MK"/>
        </w:rPr>
        <w:t xml:space="preserve"> (34.50) и </w:t>
      </w:r>
      <w:r>
        <w:rPr>
          <w:rFonts w:ascii="Times New Roman" w:hAnsi="Times New Roman" w:cs="Times New Roman"/>
          <w:i/>
          <w:iCs/>
          <w:color w:val="auto"/>
          <w:lang w:val="mk-MK"/>
        </w:rPr>
        <w:t>Development &amp; Diffusion</w:t>
      </w:r>
      <w:r>
        <w:rPr>
          <w:rFonts w:ascii="Times New Roman" w:hAnsi="Times New Roman" w:cs="Times New Roman"/>
          <w:color w:val="auto"/>
          <w:lang w:val="mk-MK"/>
        </w:rPr>
        <w:t xml:space="preserve"> (24.85). Ова произлегува директно од Законот за заштита на личните податоци (ЗЗЛП, 2020) кој е целосно усогласен со </w:t>
      </w:r>
      <w:r>
        <w:rPr>
          <w:rFonts w:ascii="Times New Roman" w:hAnsi="Times New Roman" w:cs="Times New Roman"/>
          <w:i/>
          <w:iCs/>
          <w:color w:val="auto"/>
          <w:lang w:val="mk-MK"/>
        </w:rPr>
        <w:t>GDPR</w:t>
      </w:r>
      <w:r>
        <w:rPr>
          <w:rFonts w:ascii="Times New Roman" w:hAnsi="Times New Roman" w:cs="Times New Roman"/>
          <w:color w:val="auto"/>
          <w:lang w:val="mk-MK"/>
        </w:rPr>
        <w:t xml:space="preserve"> - регулатива која е предуслов за примена на ВИ системи во јавниот секто</w:t>
      </w:r>
      <w:r>
        <w:rPr>
          <w:rFonts w:ascii="Times New Roman" w:hAnsi="Times New Roman" w:cs="Times New Roman"/>
          <w:color w:val="auto"/>
          <w:lang w:val="mk-MK"/>
        </w:rPr>
        <w:t xml:space="preserve">р согласно ЕУ </w:t>
      </w:r>
      <w:r>
        <w:rPr>
          <w:rFonts w:ascii="Times New Roman" w:hAnsi="Times New Roman" w:cs="Times New Roman"/>
          <w:i/>
          <w:iCs/>
          <w:color w:val="auto"/>
          <w:lang w:val="mk-MK"/>
        </w:rPr>
        <w:t>AI Act</w:t>
      </w:r>
      <w:r>
        <w:rPr>
          <w:rFonts w:ascii="Times New Roman" w:hAnsi="Times New Roman" w:cs="Times New Roman"/>
          <w:color w:val="auto"/>
          <w:lang w:val="mk-MK"/>
        </w:rPr>
        <w:t>.</w:t>
      </w:r>
    </w:p>
    <w:p w14:paraId="13BA2F58" w14:textId="77777777" w:rsidR="00FE200F" w:rsidRDefault="00FE200F">
      <w:pPr>
        <w:jc w:val="both"/>
        <w:rPr>
          <w:rFonts w:ascii="Times New Roman" w:hAnsi="Times New Roman" w:cs="Times New Roman"/>
          <w:color w:val="auto"/>
          <w:lang w:val="mk-MK"/>
        </w:rPr>
      </w:pPr>
    </w:p>
    <w:p w14:paraId="68B6FF6F" w14:textId="77777777" w:rsidR="00FE200F" w:rsidRDefault="00E77CAF">
      <w:pPr>
        <w:jc w:val="both"/>
        <w:rPr>
          <w:rFonts w:ascii="Times New Roman" w:hAnsi="Times New Roman" w:cs="Times New Roman"/>
          <w:b/>
          <w:bCs/>
          <w:color w:val="auto"/>
          <w:lang w:val="mk-MK"/>
        </w:rPr>
      </w:pPr>
      <w:r>
        <w:rPr>
          <w:rFonts w:ascii="Times New Roman" w:hAnsi="Times New Roman" w:cs="Times New Roman"/>
          <w:b/>
          <w:bCs/>
          <w:color w:val="auto"/>
          <w:lang w:val="mk-MK"/>
        </w:rPr>
        <w:t>С9: Воспоставени Европски дигитални иновациски хабови</w:t>
      </w:r>
    </w:p>
    <w:p w14:paraId="4F723591" w14:textId="77777777" w:rsidR="00FE200F" w:rsidRDefault="00E77CAF">
      <w:pPr>
        <w:jc w:val="both"/>
        <w:rPr>
          <w:rFonts w:ascii="Times New Roman" w:hAnsi="Times New Roman" w:cs="Times New Roman"/>
          <w:color w:val="auto"/>
          <w:lang w:val="mk-MK"/>
        </w:rPr>
      </w:pPr>
      <w:r>
        <w:rPr>
          <w:rFonts w:ascii="Times New Roman" w:hAnsi="Times New Roman" w:cs="Times New Roman"/>
          <w:color w:val="auto"/>
          <w:lang w:val="mk-MK"/>
        </w:rPr>
        <w:t xml:space="preserve">Со воспоставување на ИНОФЕИТ ЕДИХ Хаб и ДИГИТМАК ЕДИХ Хаб, Македонија стана дел од европското семејство на дигитални иновациски хабови. EDIH – European Digital Innovation Hubs се </w:t>
      </w:r>
      <w:r>
        <w:rPr>
          <w:rFonts w:ascii="Times New Roman" w:hAnsi="Times New Roman" w:cs="Times New Roman"/>
          <w:color w:val="auto"/>
          <w:lang w:val="mk-MK"/>
        </w:rPr>
        <w:t>Европски дигитални иновациски хабови кои функционираат како „едношалтерски системи“ (one-stop shops) со цел да им помогнат на малите и средните претпријатија (МСП) и на организациите од јавниот сектор во нивната дигитална трансформација, со особен фокус на</w:t>
      </w:r>
      <w:r>
        <w:rPr>
          <w:rFonts w:ascii="Times New Roman" w:hAnsi="Times New Roman" w:cs="Times New Roman"/>
          <w:color w:val="auto"/>
          <w:lang w:val="mk-MK"/>
        </w:rPr>
        <w:t xml:space="preserve"> развој на иновативни решенија со ВИ кои ќе ги автоматизираат процесите.</w:t>
      </w:r>
    </w:p>
    <w:p w14:paraId="6B7DD942" w14:textId="77777777" w:rsidR="00FE200F" w:rsidRDefault="00E77CAF">
      <w:pPr>
        <w:jc w:val="both"/>
        <w:rPr>
          <w:rFonts w:ascii="Times New Roman" w:hAnsi="Times New Roman" w:cs="Times New Roman"/>
          <w:b/>
          <w:bCs/>
          <w:color w:val="auto"/>
          <w:lang w:val="mk-MK"/>
        </w:rPr>
      </w:pPr>
      <w:r>
        <w:rPr>
          <w:rFonts w:ascii="Times New Roman" w:hAnsi="Times New Roman" w:cs="Times New Roman"/>
          <w:b/>
          <w:bCs/>
          <w:color w:val="auto"/>
          <w:lang w:val="mk-MK"/>
        </w:rPr>
        <w:t>С10: Везилка како Национална фабрика за Вештачка Интелигенција</w:t>
      </w:r>
    </w:p>
    <w:p w14:paraId="5604B428" w14:textId="77777777" w:rsidR="00FE200F" w:rsidRDefault="00E77CAF">
      <w:pPr>
        <w:jc w:val="both"/>
        <w:rPr>
          <w:rFonts w:ascii="Times New Roman" w:hAnsi="Times New Roman" w:cs="Times New Roman"/>
          <w:color w:val="auto"/>
          <w:lang w:val="mk-MK"/>
        </w:rPr>
      </w:pPr>
      <w:r>
        <w:rPr>
          <w:rFonts w:ascii="Times New Roman" w:hAnsi="Times New Roman" w:cs="Times New Roman"/>
          <w:color w:val="auto"/>
          <w:lang w:val="mk-MK"/>
        </w:rPr>
        <w:t>Везилка е националната фабрика за вештачка интелигенција во Северна Македонија и преставува капитален проект за дигиталн</w:t>
      </w:r>
      <w:r>
        <w:rPr>
          <w:rFonts w:ascii="Times New Roman" w:hAnsi="Times New Roman" w:cs="Times New Roman"/>
          <w:color w:val="auto"/>
          <w:lang w:val="mk-MK"/>
        </w:rPr>
        <w:t>ата трансформација на земјата кој ги поврзува домашните универзитети, стартапи, компании и институции со суперкомпјутерите и дигиталните ресурси на Европската Унија. Основана во рамките на иницијативата EuroHPC AI Factory Antennas на Европската Унија. Нејз</w:t>
      </w:r>
      <w:r>
        <w:rPr>
          <w:rFonts w:ascii="Times New Roman" w:hAnsi="Times New Roman" w:cs="Times New Roman"/>
          <w:color w:val="auto"/>
          <w:lang w:val="mk-MK"/>
        </w:rPr>
        <w:t>ината мисија е да го забрза прифаќањето на доверлива, етичка и одговорна вештачка интелигенција преку конкретни, применливи решенија. Домаќин на проектот е Универзитетот „Св. Кирил и Методиј“ во Скопје (УКИМ), а го спроведува Факултетот за информатички нау</w:t>
      </w:r>
      <w:r>
        <w:rPr>
          <w:rFonts w:ascii="Times New Roman" w:hAnsi="Times New Roman" w:cs="Times New Roman"/>
          <w:color w:val="auto"/>
          <w:lang w:val="mk-MK"/>
        </w:rPr>
        <w:t>ки и компјутерско инженерство (ФИНКИ), со Министерството за дигитална трансформација како главен институционален партнер. Финансиран е од Европската Унија со национално кофинансирање од Владата на Република Северна Македонија, Министерството за дигитална т</w:t>
      </w:r>
      <w:r>
        <w:rPr>
          <w:rFonts w:ascii="Times New Roman" w:hAnsi="Times New Roman" w:cs="Times New Roman"/>
          <w:color w:val="auto"/>
          <w:lang w:val="mk-MK"/>
        </w:rPr>
        <w:t>рансформација, УКИМ и ФИНКИ. Со овој проект значително ќе се забрза имплементацијата и широката примена на ВИ во земјата.</w:t>
      </w:r>
    </w:p>
    <w:p w14:paraId="0D80540D" w14:textId="77777777" w:rsidR="00FE200F" w:rsidRDefault="00FE200F">
      <w:pPr>
        <w:pStyle w:val="Heading3"/>
        <w:jc w:val="both"/>
        <w:rPr>
          <w:rFonts w:ascii="Times New Roman" w:hAnsi="Times New Roman" w:cs="Times New Roman"/>
          <w:color w:val="auto"/>
          <w:lang w:val="en-GB"/>
        </w:rPr>
      </w:pPr>
    </w:p>
    <w:p w14:paraId="0F253152" w14:textId="77777777" w:rsidR="00FE200F" w:rsidRDefault="00E77CAF">
      <w:pPr>
        <w:pStyle w:val="Heading3"/>
        <w:jc w:val="both"/>
        <w:rPr>
          <w:rFonts w:ascii="Times New Roman" w:hAnsi="Times New Roman" w:cs="Times New Roman"/>
          <w:lang w:val="mk-MK"/>
        </w:rPr>
      </w:pPr>
      <w:bookmarkStart w:id="61" w:name="_Toc240630056"/>
      <w:bookmarkStart w:id="62" w:name="_Toc243907999"/>
      <w:r>
        <w:rPr>
          <w:rFonts w:ascii="Times New Roman" w:hAnsi="Times New Roman" w:cs="Times New Roman"/>
          <w:color w:val="auto"/>
          <w:lang w:val="mk-MK"/>
        </w:rPr>
        <w:t>4.2 Слабости - Внатрешни негативни фактори</w:t>
      </w:r>
      <w:bookmarkEnd w:id="61"/>
      <w:bookmarkEnd w:id="62"/>
    </w:p>
    <w:p w14:paraId="20E1CBEA"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Сл1: Отсуство на Закон за ВИ</w:t>
      </w:r>
    </w:p>
    <w:p w14:paraId="1158A188"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Најголемата слабост е целосното отсуство на специфична правна рамка за вештачка интелигенција. Не постои Закон за ВИ, ниту пак регулаторни механизми за надзор на </w:t>
      </w:r>
      <w:r>
        <w:rPr>
          <w:rFonts w:ascii="Times New Roman" w:hAnsi="Times New Roman" w:cs="Times New Roman"/>
          <w:color w:val="auto"/>
          <w:lang w:val="mk-MK"/>
        </w:rPr>
        <w:lastRenderedPageBreak/>
        <w:t>алгоритмите, проценка на ризик или заштита од алгоритамска дискриминација. Ова создава несигур</w:t>
      </w:r>
      <w:r>
        <w:rPr>
          <w:rFonts w:ascii="Times New Roman" w:hAnsi="Times New Roman" w:cs="Times New Roman"/>
          <w:color w:val="auto"/>
          <w:lang w:val="mk-MK"/>
        </w:rPr>
        <w:t>ност за инвеститорите и ги остава граѓаните незаштитени при интеракција со автоматизирани системи.</w:t>
      </w:r>
    </w:p>
    <w:p w14:paraId="1039A9DD" w14:textId="77777777" w:rsidR="00FE200F" w:rsidRDefault="00FE200F">
      <w:pPr>
        <w:jc w:val="both"/>
        <w:rPr>
          <w:rFonts w:ascii="Times New Roman" w:hAnsi="Times New Roman" w:cs="Times New Roman"/>
          <w:color w:val="auto"/>
          <w:lang w:val="mk-MK"/>
        </w:rPr>
      </w:pPr>
    </w:p>
    <w:p w14:paraId="0F363364"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Сл2: Неефикасност на досегашните инвестиции во ВИ</w:t>
      </w:r>
    </w:p>
    <w:p w14:paraId="2D5E4E55"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Според Државниот завод за ревизија, во периодот 2018–2023 преку Фондот за иновации и технолошки развој се </w:t>
      </w:r>
      <w:r>
        <w:rPr>
          <w:rFonts w:ascii="Times New Roman" w:hAnsi="Times New Roman" w:cs="Times New Roman"/>
          <w:color w:val="auto"/>
          <w:lang w:val="mk-MK"/>
        </w:rPr>
        <w:t xml:space="preserve">кофинансирани 48 проекти со елементи на вештачка интелигенција, со вкупна проектна вредност од 6.110.044 евра и кофинансирање од 4.343.161 евра; до датумот на извештајот ниту еден од нив не бил имплементиран во јавниот сектор. Наодот укажува на потреба од </w:t>
      </w:r>
      <w:r>
        <w:rPr>
          <w:rFonts w:ascii="Times New Roman" w:hAnsi="Times New Roman" w:cs="Times New Roman"/>
          <w:color w:val="auto"/>
          <w:lang w:val="mk-MK"/>
        </w:rPr>
        <w:t>системско подобрување на планирањето, јавните набавки и капацитетот за имплементација на сложени ИТ проекти.</w:t>
      </w:r>
    </w:p>
    <w:p w14:paraId="15EFE5E7" w14:textId="77777777" w:rsidR="00FE200F" w:rsidRDefault="00FE200F">
      <w:pPr>
        <w:jc w:val="both"/>
        <w:rPr>
          <w:rFonts w:ascii="Times New Roman" w:hAnsi="Times New Roman" w:cs="Times New Roman"/>
          <w:color w:val="auto"/>
          <w:lang w:val="mk-MK"/>
        </w:rPr>
      </w:pPr>
    </w:p>
    <w:p w14:paraId="2F538C49"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Сл3: Континуиран одлив на мозоци (</w:t>
      </w:r>
      <w:r>
        <w:rPr>
          <w:rFonts w:ascii="Times New Roman" w:hAnsi="Times New Roman" w:cs="Times New Roman"/>
          <w:b/>
          <w:i/>
          <w:iCs/>
          <w:color w:val="auto"/>
          <w:lang w:val="mk-MK"/>
        </w:rPr>
        <w:t>Brain drain</w:t>
      </w:r>
      <w:r>
        <w:rPr>
          <w:rFonts w:ascii="Times New Roman" w:hAnsi="Times New Roman" w:cs="Times New Roman"/>
          <w:b/>
          <w:color w:val="auto"/>
          <w:lang w:val="mk-MK"/>
        </w:rPr>
        <w:t>)</w:t>
      </w:r>
    </w:p>
    <w:p w14:paraId="33399D4B"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И покрај растот на ИКТ секторот, државата се соочува со континуирано иселување на висококвалификува</w:t>
      </w:r>
      <w:r>
        <w:rPr>
          <w:rFonts w:ascii="Times New Roman" w:hAnsi="Times New Roman" w:cs="Times New Roman"/>
          <w:color w:val="auto"/>
          <w:lang w:val="mk-MK"/>
        </w:rPr>
        <w:t>н ИТ кадар, особено сениор инженери и експерти за податоци (</w:t>
      </w:r>
      <w:r>
        <w:rPr>
          <w:rFonts w:ascii="Times New Roman" w:hAnsi="Times New Roman" w:cs="Times New Roman"/>
          <w:i/>
          <w:iCs/>
          <w:color w:val="auto"/>
          <w:lang w:val="mk-MK"/>
        </w:rPr>
        <w:t>data scientists</w:t>
      </w:r>
      <w:r>
        <w:rPr>
          <w:rFonts w:ascii="Times New Roman" w:hAnsi="Times New Roman" w:cs="Times New Roman"/>
          <w:color w:val="auto"/>
          <w:lang w:val="mk-MK"/>
        </w:rPr>
        <w:t>), кон земјите од ЕУ и САД. Овој одлив на мозоци директно го загрозува капацитетот на државата и домашните компании да развиваат сопствени, напредни ВИ решенија, правејќи ги зависни</w:t>
      </w:r>
      <w:r>
        <w:rPr>
          <w:rFonts w:ascii="Times New Roman" w:hAnsi="Times New Roman" w:cs="Times New Roman"/>
          <w:color w:val="auto"/>
          <w:lang w:val="mk-MK"/>
        </w:rPr>
        <w:t xml:space="preserve"> од аутсорсинг услуги.</w:t>
      </w:r>
    </w:p>
    <w:p w14:paraId="445418BE" w14:textId="77777777" w:rsidR="00FE200F" w:rsidRDefault="00FE200F">
      <w:pPr>
        <w:jc w:val="both"/>
        <w:rPr>
          <w:rFonts w:ascii="Times New Roman" w:hAnsi="Times New Roman" w:cs="Times New Roman"/>
          <w:color w:val="auto"/>
          <w:lang w:val="mk-MK"/>
        </w:rPr>
      </w:pPr>
    </w:p>
    <w:p w14:paraId="69460A56"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Сл4: Бавна динамика на отворање податоци</w:t>
      </w:r>
    </w:p>
    <w:p w14:paraId="3F0772DD"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И покрај таргетите во РЈА, моменталниот број на отворени податочни сетови и нивниот квалитет (честопати неструктурирани формати) не се доволни за сериозен развој на ВИ модели. Недостигот на м</w:t>
      </w:r>
      <w:r>
        <w:rPr>
          <w:rFonts w:ascii="Times New Roman" w:hAnsi="Times New Roman" w:cs="Times New Roman"/>
          <w:color w:val="auto"/>
          <w:lang w:val="mk-MK"/>
        </w:rPr>
        <w:t xml:space="preserve">ашински читливи податоци од јавниот сектор директно го кочи развојот на домашни ВИ иновации, а постоечките датасети на </w:t>
      </w:r>
      <w:r>
        <w:rPr>
          <w:rFonts w:ascii="Times New Roman" w:hAnsi="Times New Roman" w:cs="Times New Roman"/>
          <w:i/>
          <w:iCs/>
          <w:color w:val="auto"/>
          <w:lang w:val="mk-MK"/>
        </w:rPr>
        <w:t>data.gov.mk</w:t>
      </w:r>
      <w:r>
        <w:rPr>
          <w:rFonts w:ascii="Times New Roman" w:hAnsi="Times New Roman" w:cs="Times New Roman"/>
          <w:color w:val="auto"/>
          <w:lang w:val="mk-MK"/>
        </w:rPr>
        <w:t xml:space="preserve"> во голем дел се неажурирани или со ограничена гранулираност.</w:t>
      </w:r>
    </w:p>
    <w:p w14:paraId="1BCE5829" w14:textId="77777777" w:rsidR="00FE200F" w:rsidRDefault="00FE200F">
      <w:pPr>
        <w:jc w:val="both"/>
        <w:rPr>
          <w:rFonts w:ascii="Times New Roman" w:hAnsi="Times New Roman" w:cs="Times New Roman"/>
          <w:color w:val="auto"/>
          <w:lang w:val="mk-MK"/>
        </w:rPr>
      </w:pPr>
    </w:p>
    <w:p w14:paraId="5618E87F"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 xml:space="preserve">Сл5: Недостаток на национална </w:t>
      </w:r>
      <w:r>
        <w:rPr>
          <w:rFonts w:ascii="Times New Roman" w:hAnsi="Times New Roman" w:cs="Times New Roman"/>
          <w:b/>
          <w:i/>
          <w:iCs/>
          <w:color w:val="auto"/>
          <w:lang w:val="mk-MK"/>
        </w:rPr>
        <w:t>HPC</w:t>
      </w:r>
      <w:r>
        <w:rPr>
          <w:rFonts w:ascii="Times New Roman" w:hAnsi="Times New Roman" w:cs="Times New Roman"/>
          <w:b/>
          <w:color w:val="auto"/>
          <w:lang w:val="mk-MK"/>
        </w:rPr>
        <w:t xml:space="preserve"> инфраструктура</w:t>
      </w:r>
    </w:p>
    <w:p w14:paraId="149C348B"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За разлика од </w:t>
      </w:r>
      <w:r>
        <w:rPr>
          <w:rFonts w:ascii="Times New Roman" w:hAnsi="Times New Roman" w:cs="Times New Roman"/>
          <w:color w:val="auto"/>
          <w:lang w:val="mk-MK"/>
        </w:rPr>
        <w:t>соседните земји (на пр. Србија), Северна Македонија не поседува национален суперкомпјутер (</w:t>
      </w:r>
      <w:r>
        <w:rPr>
          <w:rFonts w:ascii="Times New Roman" w:hAnsi="Times New Roman" w:cs="Times New Roman"/>
          <w:i/>
          <w:iCs/>
          <w:color w:val="auto"/>
          <w:lang w:val="mk-MK"/>
        </w:rPr>
        <w:t>High-Performance Computing - HPC</w:t>
      </w:r>
      <w:r>
        <w:rPr>
          <w:rFonts w:ascii="Times New Roman" w:hAnsi="Times New Roman" w:cs="Times New Roman"/>
          <w:color w:val="auto"/>
          <w:lang w:val="mk-MK"/>
        </w:rPr>
        <w:t>) ниту суверен дата центар со капацитети за тренирање на големи ВИ модели. Овој инфраструктурен недостаток ги принудува истражувачите</w:t>
      </w:r>
      <w:r>
        <w:rPr>
          <w:rFonts w:ascii="Times New Roman" w:hAnsi="Times New Roman" w:cs="Times New Roman"/>
          <w:color w:val="auto"/>
          <w:lang w:val="mk-MK"/>
        </w:rPr>
        <w:t xml:space="preserve"> и компаниите да користат скапи комерцијални услуги во облак во странство, што го поскапува развојот и отвора прашања за суверенитетот на податоците.</w:t>
      </w:r>
    </w:p>
    <w:p w14:paraId="47987B42" w14:textId="77777777" w:rsidR="00FE200F" w:rsidRDefault="00FE200F">
      <w:pPr>
        <w:jc w:val="both"/>
        <w:rPr>
          <w:rFonts w:ascii="Times New Roman" w:hAnsi="Times New Roman" w:cs="Times New Roman"/>
          <w:color w:val="auto"/>
          <w:lang w:val="mk-MK"/>
        </w:rPr>
      </w:pPr>
    </w:p>
    <w:p w14:paraId="3FBD66BF"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Сл6: Ограничена интероперабилност и „силоси“ на податоци</w:t>
      </w:r>
    </w:p>
    <w:p w14:paraId="601B8A12"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Државните институции сè уште работат во изолиран</w:t>
      </w:r>
      <w:r>
        <w:rPr>
          <w:rFonts w:ascii="Times New Roman" w:hAnsi="Times New Roman" w:cs="Times New Roman"/>
          <w:color w:val="auto"/>
          <w:lang w:val="mk-MK"/>
        </w:rPr>
        <w:t>и „силоси“ со ограничени отворени податоци (</w:t>
      </w:r>
      <w:r>
        <w:rPr>
          <w:rFonts w:ascii="Times New Roman" w:hAnsi="Times New Roman" w:cs="Times New Roman"/>
          <w:i/>
          <w:iCs/>
          <w:color w:val="auto"/>
          <w:lang w:val="mk-MK"/>
        </w:rPr>
        <w:t>Open Data</w:t>
      </w:r>
      <w:r>
        <w:rPr>
          <w:rFonts w:ascii="Times New Roman" w:hAnsi="Times New Roman" w:cs="Times New Roman"/>
          <w:color w:val="auto"/>
          <w:lang w:val="mk-MK"/>
        </w:rPr>
        <w:t xml:space="preserve">) и слаба размена на информации преку платформата за интероперабилност. Без квалитетни, чисти и машински читливи податоци од јавниот сектор, невозможно е да се тренираат ефикасни и прецизни ВИ модели за </w:t>
      </w:r>
      <w:r>
        <w:rPr>
          <w:rFonts w:ascii="Times New Roman" w:hAnsi="Times New Roman" w:cs="Times New Roman"/>
          <w:color w:val="auto"/>
          <w:lang w:val="mk-MK"/>
        </w:rPr>
        <w:t>потребите на јавната администрација.</w:t>
      </w:r>
    </w:p>
    <w:p w14:paraId="1B8CC8D5" w14:textId="77777777" w:rsidR="00FE200F" w:rsidRDefault="00FE200F">
      <w:pPr>
        <w:jc w:val="both"/>
        <w:rPr>
          <w:rFonts w:ascii="Times New Roman" w:hAnsi="Times New Roman" w:cs="Times New Roman"/>
          <w:color w:val="auto"/>
          <w:lang w:val="mk-MK"/>
        </w:rPr>
      </w:pPr>
    </w:p>
    <w:p w14:paraId="03014343"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Сл7: Слаба соработка меѓу академијата и индустријата</w:t>
      </w:r>
    </w:p>
    <w:p w14:paraId="627E1770"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Постои значителен јаз помеѓу академските истражувања и потребите на индустријата. И покрај активноста на центрите за трансфер на технологии и иновации, како ИНОФЕИТ,</w:t>
      </w:r>
      <w:r>
        <w:rPr>
          <w:rFonts w:ascii="Times New Roman" w:hAnsi="Times New Roman" w:cs="Times New Roman"/>
          <w:color w:val="auto"/>
          <w:lang w:val="mk-MK"/>
        </w:rPr>
        <w:t xml:space="preserve"> и воспоставените 2 ЕДИХ Хабови, истражувањата на универзитетите ретко се комерцијализираат во конкретни производи, а ИКТ компаниите ретко финансираат заеднички </w:t>
      </w:r>
      <w:r>
        <w:rPr>
          <w:rFonts w:ascii="Times New Roman" w:hAnsi="Times New Roman" w:cs="Times New Roman"/>
          <w:i/>
          <w:iCs/>
          <w:color w:val="auto"/>
          <w:lang w:val="mk-MK"/>
        </w:rPr>
        <w:t>R&amp;D</w:t>
      </w:r>
      <w:r>
        <w:rPr>
          <w:rFonts w:ascii="Times New Roman" w:hAnsi="Times New Roman" w:cs="Times New Roman"/>
          <w:color w:val="auto"/>
          <w:lang w:val="mk-MK"/>
        </w:rPr>
        <w:t xml:space="preserve"> проекти со факултетите. Оваа слаба алка го спречува трансферот на знаење и создавањето на и</w:t>
      </w:r>
      <w:r>
        <w:rPr>
          <w:rFonts w:ascii="Times New Roman" w:hAnsi="Times New Roman" w:cs="Times New Roman"/>
          <w:color w:val="auto"/>
          <w:lang w:val="mk-MK"/>
        </w:rPr>
        <w:t>новативни ВИ продукти со додадена вредност.</w:t>
      </w:r>
    </w:p>
    <w:p w14:paraId="1A560314" w14:textId="77777777" w:rsidR="00FE200F" w:rsidRDefault="00FE200F">
      <w:pPr>
        <w:jc w:val="both"/>
        <w:rPr>
          <w:rFonts w:ascii="Times New Roman" w:hAnsi="Times New Roman" w:cs="Times New Roman"/>
          <w:color w:val="auto"/>
          <w:lang w:val="mk-MK"/>
        </w:rPr>
      </w:pPr>
    </w:p>
    <w:p w14:paraId="70C0C325"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Сл8: Ограничен пристап до инвестициски фондови (</w:t>
      </w:r>
      <w:r>
        <w:rPr>
          <w:rFonts w:ascii="Times New Roman" w:hAnsi="Times New Roman" w:cs="Times New Roman"/>
          <w:b/>
          <w:i/>
          <w:iCs/>
          <w:color w:val="auto"/>
          <w:lang w:val="mk-MK"/>
        </w:rPr>
        <w:t>Venture Capital</w:t>
      </w:r>
      <w:r>
        <w:rPr>
          <w:rFonts w:ascii="Times New Roman" w:hAnsi="Times New Roman" w:cs="Times New Roman"/>
          <w:b/>
          <w:color w:val="auto"/>
          <w:lang w:val="mk-MK"/>
        </w:rPr>
        <w:t>)</w:t>
      </w:r>
    </w:p>
    <w:p w14:paraId="2E0B5B14"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Иако постојат грантови за рана фаза, екосистемот страда од недостаток на </w:t>
      </w:r>
      <w:r>
        <w:rPr>
          <w:rFonts w:ascii="Times New Roman" w:hAnsi="Times New Roman" w:cs="Times New Roman"/>
          <w:i/>
          <w:iCs/>
          <w:color w:val="auto"/>
          <w:lang w:val="mk-MK"/>
        </w:rPr>
        <w:t>venture capital (VC)</w:t>
      </w:r>
      <w:r>
        <w:rPr>
          <w:rFonts w:ascii="Times New Roman" w:hAnsi="Times New Roman" w:cs="Times New Roman"/>
          <w:color w:val="auto"/>
          <w:lang w:val="mk-MK"/>
        </w:rPr>
        <w:t xml:space="preserve"> фондови специјализирани за </w:t>
      </w:r>
      <w:r>
        <w:rPr>
          <w:rFonts w:ascii="Times New Roman" w:hAnsi="Times New Roman" w:cs="Times New Roman"/>
          <w:i/>
          <w:iCs/>
          <w:color w:val="auto"/>
          <w:lang w:val="mk-MK"/>
        </w:rPr>
        <w:t>deep-tech</w:t>
      </w:r>
      <w:r>
        <w:rPr>
          <w:rFonts w:ascii="Times New Roman" w:hAnsi="Times New Roman" w:cs="Times New Roman"/>
          <w:color w:val="auto"/>
          <w:lang w:val="mk-MK"/>
        </w:rPr>
        <w:t xml:space="preserve"> и ВИ стартапи в</w:t>
      </w:r>
      <w:r>
        <w:rPr>
          <w:rFonts w:ascii="Times New Roman" w:hAnsi="Times New Roman" w:cs="Times New Roman"/>
          <w:color w:val="auto"/>
          <w:lang w:val="mk-MK"/>
        </w:rPr>
        <w:t>о фаза на раст (</w:t>
      </w:r>
      <w:r>
        <w:rPr>
          <w:rFonts w:ascii="Times New Roman" w:hAnsi="Times New Roman" w:cs="Times New Roman"/>
          <w:i/>
          <w:iCs/>
          <w:color w:val="auto"/>
          <w:lang w:val="mk-MK"/>
        </w:rPr>
        <w:t>Series A</w:t>
      </w:r>
      <w:r>
        <w:rPr>
          <w:rFonts w:ascii="Times New Roman" w:hAnsi="Times New Roman" w:cs="Times New Roman"/>
          <w:color w:val="auto"/>
          <w:lang w:val="mk-MK"/>
        </w:rPr>
        <w:t xml:space="preserve"> и натаму). Ова ги принудува најуспешните македонски ВИ стартапи да се регистрираат во странство (САД, Велика Британија) за да привлечат посериозен капитал за глобална експанзија.</w:t>
      </w:r>
    </w:p>
    <w:p w14:paraId="04B1D2AE" w14:textId="77777777" w:rsidR="00FE200F" w:rsidRDefault="00FE200F">
      <w:pPr>
        <w:jc w:val="both"/>
        <w:rPr>
          <w:rFonts w:ascii="Times New Roman" w:hAnsi="Times New Roman" w:cs="Times New Roman"/>
          <w:color w:val="auto"/>
          <w:lang w:val="mk-MK"/>
        </w:rPr>
      </w:pPr>
    </w:p>
    <w:p w14:paraId="34EC0A78" w14:textId="77777777" w:rsidR="00FE200F" w:rsidRDefault="00E77CAF">
      <w:pPr>
        <w:pStyle w:val="Heading3"/>
        <w:jc w:val="both"/>
        <w:rPr>
          <w:rFonts w:ascii="Times New Roman" w:hAnsi="Times New Roman" w:cs="Times New Roman"/>
          <w:lang w:val="mk-MK"/>
        </w:rPr>
      </w:pPr>
      <w:bookmarkStart w:id="63" w:name="_Toc240630057"/>
      <w:bookmarkStart w:id="64" w:name="_Toc243908000"/>
      <w:r>
        <w:rPr>
          <w:rFonts w:ascii="Times New Roman" w:hAnsi="Times New Roman" w:cs="Times New Roman"/>
          <w:color w:val="auto"/>
          <w:lang w:val="mk-MK"/>
        </w:rPr>
        <w:t>4.3 Можности - Надворешни позитивни фактори</w:t>
      </w:r>
      <w:bookmarkEnd w:id="63"/>
      <w:bookmarkEnd w:id="64"/>
    </w:p>
    <w:p w14:paraId="5E5A6C58"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М1: При</w:t>
      </w:r>
      <w:r>
        <w:rPr>
          <w:rFonts w:ascii="Times New Roman" w:hAnsi="Times New Roman" w:cs="Times New Roman"/>
          <w:b/>
          <w:color w:val="auto"/>
          <w:lang w:val="mk-MK"/>
        </w:rPr>
        <w:t>стап до ЕУ фондови и програми</w:t>
      </w:r>
    </w:p>
    <w:p w14:paraId="4DFB4223"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Како земја кандидат, Северна Македонија има пристап до значајни европски фондови. Програмата „Дигитална Европа“ и „Хоризонт Европа“ нудат стотици милиони евра за развој на ВИ, дигитални иновациски хабови и истражување.Ефикасното искористување на овие фондо</w:t>
      </w:r>
      <w:r>
        <w:rPr>
          <w:rFonts w:ascii="Times New Roman" w:hAnsi="Times New Roman" w:cs="Times New Roman"/>
          <w:color w:val="auto"/>
          <w:lang w:val="mk-MK"/>
        </w:rPr>
        <w:t xml:space="preserve">ви може целосно да ја трансформира националната ВИ инфраструктура со намалено оптоварување на државниот буџет. Токму преку „Дигитална Европа“ се обезбедени дел од средставата за воспоставување на ЕДИХ </w:t>
      </w:r>
      <w:r>
        <w:rPr>
          <w:rFonts w:ascii="Times New Roman" w:hAnsi="Times New Roman" w:cs="Times New Roman"/>
          <w:color w:val="auto"/>
        </w:rPr>
        <w:t xml:space="preserve"> </w:t>
      </w:r>
      <w:r>
        <w:rPr>
          <w:rFonts w:ascii="Times New Roman" w:hAnsi="Times New Roman" w:cs="Times New Roman"/>
          <w:color w:val="auto"/>
          <w:lang w:val="mk-MK"/>
        </w:rPr>
        <w:t xml:space="preserve">хабови (EDIH – European Digital Innovation Hubs) ЕДИХ </w:t>
      </w:r>
    </w:p>
    <w:p w14:paraId="3B250E35" w14:textId="77777777" w:rsidR="00FE200F" w:rsidRDefault="00FE200F">
      <w:pPr>
        <w:jc w:val="both"/>
        <w:rPr>
          <w:rFonts w:ascii="Times New Roman" w:hAnsi="Times New Roman" w:cs="Times New Roman"/>
          <w:color w:val="auto"/>
          <w:lang w:val="mk-MK"/>
        </w:rPr>
      </w:pPr>
    </w:p>
    <w:p w14:paraId="179EEAC3"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М2: Регионална соработка и споделување ресурси</w:t>
      </w:r>
    </w:p>
    <w:p w14:paraId="46A0F6B5"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Иницијативите како Отворен Балкан и Берлинскиот процес отвораат можности за регионална соработка. Наместо самостојно градење на скапа инфраструктура, Македонија може да влезе во конзорциуми со соседните земј</w:t>
      </w:r>
      <w:r>
        <w:rPr>
          <w:rFonts w:ascii="Times New Roman" w:hAnsi="Times New Roman" w:cs="Times New Roman"/>
          <w:color w:val="auto"/>
          <w:lang w:val="mk-MK"/>
        </w:rPr>
        <w:t>и за заедничко користење на суперкомпјутери (</w:t>
      </w:r>
      <w:r>
        <w:rPr>
          <w:rFonts w:ascii="Times New Roman" w:hAnsi="Times New Roman" w:cs="Times New Roman"/>
          <w:i/>
          <w:iCs/>
          <w:color w:val="auto"/>
          <w:lang w:val="mk-MK"/>
        </w:rPr>
        <w:t>HPC</w:t>
      </w:r>
      <w:r>
        <w:rPr>
          <w:rFonts w:ascii="Times New Roman" w:hAnsi="Times New Roman" w:cs="Times New Roman"/>
          <w:color w:val="auto"/>
          <w:lang w:val="mk-MK"/>
        </w:rPr>
        <w:t xml:space="preserve"> мрежи) и формирање на регионални центри за извонредност во областа на ВИ.</w:t>
      </w:r>
    </w:p>
    <w:p w14:paraId="28255C9D" w14:textId="77777777" w:rsidR="00FE200F" w:rsidRDefault="00FE200F">
      <w:pPr>
        <w:jc w:val="both"/>
        <w:rPr>
          <w:rFonts w:ascii="Times New Roman" w:hAnsi="Times New Roman" w:cs="Times New Roman"/>
          <w:color w:val="auto"/>
          <w:lang w:val="mk-MK"/>
        </w:rPr>
      </w:pPr>
    </w:p>
    <w:p w14:paraId="3C5ECB3A"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М3: Оптимизација на јавната администрација преку ВИ</w:t>
      </w:r>
    </w:p>
    <w:p w14:paraId="1BA741E5"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Вештачката интелигенција нуди историска можност за радикална трансформација на ј</w:t>
      </w:r>
      <w:r>
        <w:rPr>
          <w:rFonts w:ascii="Times New Roman" w:hAnsi="Times New Roman" w:cs="Times New Roman"/>
          <w:color w:val="auto"/>
          <w:lang w:val="mk-MK"/>
        </w:rPr>
        <w:t xml:space="preserve">авниот сектор. Преку имплементација на ВИ за автоматизација на рутински задачи, обработка на документи и паметни четботови на порталот </w:t>
      </w:r>
      <w:r>
        <w:rPr>
          <w:rFonts w:ascii="Times New Roman" w:hAnsi="Times New Roman" w:cs="Times New Roman"/>
          <w:i/>
          <w:iCs/>
          <w:color w:val="auto"/>
          <w:lang w:val="mk-MK"/>
        </w:rPr>
        <w:t>e-uslugi.mk</w:t>
      </w:r>
      <w:r>
        <w:rPr>
          <w:rFonts w:ascii="Times New Roman" w:hAnsi="Times New Roman" w:cs="Times New Roman"/>
          <w:color w:val="auto"/>
          <w:lang w:val="mk-MK"/>
        </w:rPr>
        <w:t>, државата може драстично да ја намали бирократијата, да ги забрза услугите и да ја намали корупцијата преку о</w:t>
      </w:r>
      <w:r>
        <w:rPr>
          <w:rFonts w:ascii="Times New Roman" w:hAnsi="Times New Roman" w:cs="Times New Roman"/>
          <w:color w:val="auto"/>
          <w:lang w:val="mk-MK"/>
        </w:rPr>
        <w:t>тстранување на човечкиот фактор во рутинските одлуки.</w:t>
      </w:r>
    </w:p>
    <w:p w14:paraId="7A97AF27" w14:textId="77777777" w:rsidR="00FE200F" w:rsidRDefault="00FE200F">
      <w:pPr>
        <w:jc w:val="both"/>
        <w:rPr>
          <w:rFonts w:ascii="Times New Roman" w:hAnsi="Times New Roman" w:cs="Times New Roman"/>
          <w:color w:val="auto"/>
          <w:lang w:val="en-GB"/>
        </w:rPr>
      </w:pPr>
    </w:p>
    <w:p w14:paraId="28275784" w14:textId="77777777" w:rsidR="00FE200F" w:rsidRDefault="00FE200F">
      <w:pPr>
        <w:jc w:val="both"/>
        <w:rPr>
          <w:rFonts w:ascii="Times New Roman" w:hAnsi="Times New Roman" w:cs="Times New Roman"/>
          <w:color w:val="auto"/>
          <w:lang w:val="en-GB"/>
        </w:rPr>
      </w:pPr>
    </w:p>
    <w:p w14:paraId="08552F75" w14:textId="77777777" w:rsidR="00FE200F" w:rsidRDefault="00FE200F">
      <w:pPr>
        <w:jc w:val="both"/>
        <w:rPr>
          <w:rFonts w:ascii="Times New Roman" w:hAnsi="Times New Roman" w:cs="Times New Roman"/>
          <w:color w:val="auto"/>
          <w:lang w:val="en-GB"/>
        </w:rPr>
      </w:pPr>
    </w:p>
    <w:p w14:paraId="470A6070"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М4: Привлекување на дигитални номади и странски ВИ експерти</w:t>
      </w:r>
    </w:p>
    <w:p w14:paraId="742286B8"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Со креирање на поволна даночна политика, специјални визи за дигитални номади и правна сигурност, државата може да привлече странски ВИ </w:t>
      </w:r>
      <w:r>
        <w:rPr>
          <w:rFonts w:ascii="Times New Roman" w:hAnsi="Times New Roman" w:cs="Times New Roman"/>
          <w:color w:val="auto"/>
          <w:lang w:val="mk-MK"/>
        </w:rPr>
        <w:t>експерти и стартапи. Ова не само што ќе донесе свеж капитал, туку и ќе овозможи трансфер на знаење кон локалните инженери, помагајќи да се ублажат ефектите од одливот на мозоци.</w:t>
      </w:r>
    </w:p>
    <w:p w14:paraId="6B973F78" w14:textId="77777777" w:rsidR="00FE200F" w:rsidRDefault="00FE200F">
      <w:pPr>
        <w:jc w:val="both"/>
        <w:rPr>
          <w:rFonts w:ascii="Times New Roman" w:hAnsi="Times New Roman" w:cs="Times New Roman"/>
          <w:color w:val="auto"/>
          <w:lang w:val="mk-MK"/>
        </w:rPr>
      </w:pPr>
    </w:p>
    <w:p w14:paraId="246ADDC0"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М5: Специјализација во нишни пазари (Паметна специјализација - С3)</w:t>
      </w:r>
    </w:p>
    <w:p w14:paraId="32C9CBAB"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Наместо да</w:t>
      </w:r>
      <w:r>
        <w:rPr>
          <w:rFonts w:ascii="Times New Roman" w:hAnsi="Times New Roman" w:cs="Times New Roman"/>
          <w:color w:val="auto"/>
          <w:lang w:val="mk-MK"/>
        </w:rPr>
        <w:t xml:space="preserve"> се натпреварува со глобалните гиганти во развој на општи ВИ модели, македонскиот ИКТ сектор може да се фокусира на развој на специфични ВИ решенија за индустриите идентификувани во Стратегијата за паметна специјализација (С3). Ова вклучува паметно земјоде</w:t>
      </w:r>
      <w:r>
        <w:rPr>
          <w:rFonts w:ascii="Times New Roman" w:hAnsi="Times New Roman" w:cs="Times New Roman"/>
          <w:color w:val="auto"/>
          <w:lang w:val="mk-MK"/>
        </w:rPr>
        <w:t>лство (</w:t>
      </w:r>
      <w:r>
        <w:rPr>
          <w:rFonts w:ascii="Times New Roman" w:hAnsi="Times New Roman" w:cs="Times New Roman"/>
          <w:i/>
          <w:iCs/>
          <w:color w:val="auto"/>
          <w:lang w:val="mk-MK"/>
        </w:rPr>
        <w:t>AgriTech</w:t>
      </w:r>
      <w:r>
        <w:rPr>
          <w:rFonts w:ascii="Times New Roman" w:hAnsi="Times New Roman" w:cs="Times New Roman"/>
          <w:color w:val="auto"/>
          <w:lang w:val="mk-MK"/>
        </w:rPr>
        <w:t>), финансиски технологии (</w:t>
      </w:r>
      <w:r>
        <w:rPr>
          <w:rFonts w:ascii="Times New Roman" w:hAnsi="Times New Roman" w:cs="Times New Roman"/>
          <w:i/>
          <w:iCs/>
          <w:color w:val="auto"/>
          <w:lang w:val="mk-MK"/>
        </w:rPr>
        <w:t>FinTech</w:t>
      </w:r>
      <w:r>
        <w:rPr>
          <w:rFonts w:ascii="Times New Roman" w:hAnsi="Times New Roman" w:cs="Times New Roman"/>
          <w:color w:val="auto"/>
          <w:lang w:val="mk-MK"/>
        </w:rPr>
        <w:t>) и паметни згради/материјали.</w:t>
      </w:r>
    </w:p>
    <w:p w14:paraId="02972C73" w14:textId="77777777" w:rsidR="00FE200F" w:rsidRDefault="00FE200F">
      <w:pPr>
        <w:jc w:val="both"/>
        <w:rPr>
          <w:rFonts w:ascii="Times New Roman" w:hAnsi="Times New Roman" w:cs="Times New Roman"/>
          <w:color w:val="auto"/>
          <w:lang w:val="mk-MK"/>
        </w:rPr>
      </w:pPr>
    </w:p>
    <w:p w14:paraId="7C90FCA2"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М6: Развој и употреба на локални големи јазични модели (</w:t>
      </w:r>
      <w:r>
        <w:rPr>
          <w:rFonts w:ascii="Times New Roman" w:hAnsi="Times New Roman" w:cs="Times New Roman"/>
          <w:b/>
          <w:i/>
          <w:iCs/>
          <w:color w:val="auto"/>
          <w:lang w:val="mk-MK"/>
        </w:rPr>
        <w:t>LLM</w:t>
      </w:r>
      <w:r>
        <w:rPr>
          <w:rFonts w:ascii="Times New Roman" w:hAnsi="Times New Roman" w:cs="Times New Roman"/>
          <w:b/>
          <w:color w:val="auto"/>
          <w:lang w:val="mk-MK"/>
        </w:rPr>
        <w:t>) за македонски јазик</w:t>
      </w:r>
    </w:p>
    <w:p w14:paraId="6138D048"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Употребата на локални отворени големи јазични модели, како и инвестирањето во развој на Големи </w:t>
      </w:r>
      <w:r>
        <w:rPr>
          <w:rFonts w:ascii="Times New Roman" w:hAnsi="Times New Roman" w:cs="Times New Roman"/>
          <w:color w:val="auto"/>
          <w:lang w:val="mk-MK"/>
        </w:rPr>
        <w:t>јазични модели (</w:t>
      </w:r>
      <w:r>
        <w:rPr>
          <w:rFonts w:ascii="Times New Roman" w:hAnsi="Times New Roman" w:cs="Times New Roman"/>
          <w:i/>
          <w:iCs/>
          <w:color w:val="auto"/>
          <w:lang w:val="mk-MK"/>
        </w:rPr>
        <w:t>LLM</w:t>
      </w:r>
      <w:r>
        <w:rPr>
          <w:rFonts w:ascii="Times New Roman" w:hAnsi="Times New Roman" w:cs="Times New Roman"/>
          <w:color w:val="auto"/>
          <w:lang w:val="mk-MK"/>
        </w:rPr>
        <w:t>) специфични за македонскиот јазик претставува огромна можност. Ова ќе овозможи локализирани ВИ услуги за граѓаните, но и ќе послужи како клучна алатка за  зачувување на дигиталната сувереност на Македонија.</w:t>
      </w:r>
    </w:p>
    <w:p w14:paraId="5B9B4D78" w14:textId="77777777" w:rsidR="00FE200F" w:rsidRDefault="00FE200F">
      <w:pPr>
        <w:jc w:val="both"/>
        <w:rPr>
          <w:rFonts w:ascii="Times New Roman" w:hAnsi="Times New Roman" w:cs="Times New Roman"/>
          <w:color w:val="auto"/>
          <w:lang w:val="mk-MK"/>
        </w:rPr>
      </w:pPr>
    </w:p>
    <w:p w14:paraId="6FF7E356"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М7: Зелена транзиција и енер</w:t>
      </w:r>
      <w:r>
        <w:rPr>
          <w:rFonts w:ascii="Times New Roman" w:hAnsi="Times New Roman" w:cs="Times New Roman"/>
          <w:b/>
          <w:color w:val="auto"/>
          <w:lang w:val="mk-MK"/>
        </w:rPr>
        <w:t>гетска ефикасност</w:t>
      </w:r>
    </w:p>
    <w:p w14:paraId="13D945EB"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Вештачката интелигенција може да одигра клучна улога во зелената транзиција на државата. Примената на ВИ за оптимизација на потрошувачката на енергија, паметно управување со дистрибутивните мрежи (</w:t>
      </w:r>
      <w:r>
        <w:rPr>
          <w:rFonts w:ascii="Times New Roman" w:hAnsi="Times New Roman" w:cs="Times New Roman"/>
          <w:i/>
          <w:iCs/>
          <w:color w:val="auto"/>
          <w:lang w:val="mk-MK"/>
        </w:rPr>
        <w:t>smart grids</w:t>
      </w:r>
      <w:r>
        <w:rPr>
          <w:rFonts w:ascii="Times New Roman" w:hAnsi="Times New Roman" w:cs="Times New Roman"/>
          <w:color w:val="auto"/>
          <w:lang w:val="mk-MK"/>
        </w:rPr>
        <w:t>) и мониторинг на загадувањето</w:t>
      </w:r>
      <w:r>
        <w:rPr>
          <w:rFonts w:ascii="Times New Roman" w:hAnsi="Times New Roman" w:cs="Times New Roman"/>
          <w:color w:val="auto"/>
          <w:lang w:val="mk-MK"/>
        </w:rPr>
        <w:t xml:space="preserve"> на воздухот во реално време може да реши некои од најгорливите еколошки проблеми во македонските градови.</w:t>
      </w:r>
    </w:p>
    <w:p w14:paraId="115BFC99" w14:textId="77777777" w:rsidR="00FE200F" w:rsidRDefault="00FE200F">
      <w:pPr>
        <w:jc w:val="both"/>
        <w:rPr>
          <w:rFonts w:ascii="Times New Roman" w:hAnsi="Times New Roman" w:cs="Times New Roman"/>
          <w:color w:val="auto"/>
          <w:lang w:val="mk-MK"/>
        </w:rPr>
      </w:pPr>
    </w:p>
    <w:p w14:paraId="10F64437"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М8: Трансформација на здравствениот систем</w:t>
      </w:r>
    </w:p>
    <w:p w14:paraId="52A3A229"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Имплементацијата на ВИ во јавното здравство нуди можности за рана дијагностика (анализа на медицински сли</w:t>
      </w:r>
      <w:r>
        <w:rPr>
          <w:rFonts w:ascii="Times New Roman" w:hAnsi="Times New Roman" w:cs="Times New Roman"/>
          <w:color w:val="auto"/>
          <w:lang w:val="mk-MK"/>
        </w:rPr>
        <w:t>ки), оптимизација на болничките ресурси и персонализирана медицина. Ова може значително да го подобри квалитетот на здравствените услуги и да ги намали трошоците во здравствениот фонд.</w:t>
      </w:r>
    </w:p>
    <w:p w14:paraId="6A90D0DD" w14:textId="77777777" w:rsidR="00FE200F" w:rsidRDefault="00FE200F">
      <w:pPr>
        <w:jc w:val="both"/>
        <w:rPr>
          <w:rFonts w:ascii="Times New Roman" w:hAnsi="Times New Roman" w:cs="Times New Roman"/>
          <w:color w:val="auto"/>
          <w:lang w:val="en-GB"/>
        </w:rPr>
      </w:pPr>
    </w:p>
    <w:p w14:paraId="50A9A38C" w14:textId="77777777" w:rsidR="00FE200F" w:rsidRDefault="00E77CAF">
      <w:pPr>
        <w:pStyle w:val="Heading3"/>
        <w:jc w:val="both"/>
        <w:rPr>
          <w:rFonts w:ascii="Times New Roman" w:hAnsi="Times New Roman" w:cs="Times New Roman"/>
          <w:lang w:val="mk-MK"/>
        </w:rPr>
      </w:pPr>
      <w:bookmarkStart w:id="65" w:name="_Toc240630058"/>
      <w:bookmarkStart w:id="66" w:name="_Toc243908001"/>
      <w:r>
        <w:rPr>
          <w:rFonts w:ascii="Times New Roman" w:hAnsi="Times New Roman" w:cs="Times New Roman"/>
          <w:color w:val="auto"/>
          <w:lang w:val="mk-MK"/>
        </w:rPr>
        <w:t>4.4 Закани - Надворешни негативни фактори</w:t>
      </w:r>
      <w:bookmarkEnd w:id="65"/>
      <w:bookmarkEnd w:id="66"/>
    </w:p>
    <w:p w14:paraId="16F415F7"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З1: Заостанување зад регионо</w:t>
      </w:r>
      <w:r>
        <w:rPr>
          <w:rFonts w:ascii="Times New Roman" w:hAnsi="Times New Roman" w:cs="Times New Roman"/>
          <w:b/>
          <w:color w:val="auto"/>
          <w:lang w:val="mk-MK"/>
        </w:rPr>
        <w:t>т (Губење на конкурентност)</w:t>
      </w:r>
    </w:p>
    <w:p w14:paraId="2CFB71FC" w14:textId="77777777" w:rsidR="00FE200F" w:rsidRDefault="00E77CAF">
      <w:pPr>
        <w:jc w:val="both"/>
        <w:rPr>
          <w:rFonts w:ascii="Times New Roman" w:hAnsi="Times New Roman" w:cs="Times New Roman"/>
        </w:rPr>
      </w:pPr>
      <w:r>
        <w:rPr>
          <w:rFonts w:ascii="Times New Roman" w:hAnsi="Times New Roman" w:cs="Times New Roman"/>
          <w:color w:val="auto"/>
          <w:lang w:val="mk-MK"/>
        </w:rPr>
        <w:lastRenderedPageBreak/>
        <w:t>Србија веќе има усвоено втора стратегија за ВИ (2025-2030), поседува национален суперкомпјутер и Институт за ВИ (Влада на Република Србија, 2025). Доколку Македонија не дејствува брзо, постои реална закана од целосно губење на р</w:t>
      </w:r>
      <w:r>
        <w:rPr>
          <w:rFonts w:ascii="Times New Roman" w:hAnsi="Times New Roman" w:cs="Times New Roman"/>
          <w:color w:val="auto"/>
          <w:lang w:val="mk-MK"/>
        </w:rPr>
        <w:t>егионалната конкурентност. Странските инвеститори и талентите ќе се пренасочат кон соседните земји кои нудат подобра инфраструктура и правна сигурност.</w:t>
      </w:r>
    </w:p>
    <w:p w14:paraId="45508E70" w14:textId="77777777" w:rsidR="00FE200F" w:rsidRDefault="00FE200F">
      <w:pPr>
        <w:jc w:val="both"/>
        <w:rPr>
          <w:rFonts w:ascii="Times New Roman" w:hAnsi="Times New Roman" w:cs="Times New Roman"/>
        </w:rPr>
      </w:pPr>
    </w:p>
    <w:p w14:paraId="3E7539E0"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З2: Сајбер-напади базирани на ВИ и дезинформации</w:t>
      </w:r>
    </w:p>
    <w:p w14:paraId="323A2263" w14:textId="77777777" w:rsidR="00FE200F" w:rsidRDefault="00E77CAF">
      <w:pPr>
        <w:jc w:val="both"/>
        <w:rPr>
          <w:rFonts w:ascii="Times New Roman" w:hAnsi="Times New Roman" w:cs="Times New Roman"/>
          <w:color w:val="auto"/>
        </w:rPr>
      </w:pPr>
      <w:r>
        <w:rPr>
          <w:rFonts w:ascii="Times New Roman" w:hAnsi="Times New Roman" w:cs="Times New Roman"/>
          <w:color w:val="auto"/>
          <w:lang w:val="mk-MK"/>
        </w:rPr>
        <w:t xml:space="preserve">Брзиот развој на генеративната ВИ овозможува креирање </w:t>
      </w:r>
      <w:r>
        <w:rPr>
          <w:rFonts w:ascii="Times New Roman" w:hAnsi="Times New Roman" w:cs="Times New Roman"/>
          <w:color w:val="auto"/>
          <w:lang w:val="mk-MK"/>
        </w:rPr>
        <w:t>на високо софистицирани сајбер-напади, автоматизиран фишинг и лажни содржини (</w:t>
      </w:r>
      <w:r>
        <w:rPr>
          <w:rFonts w:ascii="Times New Roman" w:hAnsi="Times New Roman" w:cs="Times New Roman"/>
          <w:i/>
          <w:iCs/>
          <w:color w:val="auto"/>
          <w:lang w:val="mk-MK"/>
        </w:rPr>
        <w:t>deepfakes)</w:t>
      </w:r>
      <w:r>
        <w:rPr>
          <w:rFonts w:ascii="Times New Roman" w:hAnsi="Times New Roman" w:cs="Times New Roman"/>
          <w:color w:val="auto"/>
          <w:lang w:val="mk-MK"/>
        </w:rPr>
        <w:t xml:space="preserve">. Во контекст на кревка политичка средина, употребата на ВИ за генерирање и масовно ширење на дезинформации претставува сериозна закана за националната безбедност и </w:t>
      </w:r>
      <w:r>
        <w:rPr>
          <w:rFonts w:ascii="Times New Roman" w:hAnsi="Times New Roman" w:cs="Times New Roman"/>
          <w:color w:val="auto"/>
          <w:lang w:val="mk-MK"/>
        </w:rPr>
        <w:t>демократските процеси.</w:t>
      </w:r>
    </w:p>
    <w:p w14:paraId="7B460BE6" w14:textId="77777777" w:rsidR="00FE200F" w:rsidRDefault="00FE200F">
      <w:pPr>
        <w:jc w:val="both"/>
        <w:rPr>
          <w:rFonts w:ascii="Times New Roman" w:hAnsi="Times New Roman" w:cs="Times New Roman"/>
        </w:rPr>
      </w:pPr>
    </w:p>
    <w:p w14:paraId="494371E3"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З3: Алгоритамска пристрасност и дискриминација</w:t>
      </w:r>
    </w:p>
    <w:p w14:paraId="3B74EA8E"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Доколку ВИ системите во јавниот сектор се тренираат на неквалитетни или историски пристрасни податоци, постои висок ризик алгоритмите да донесуваат дискриминаторски одлуки (на пр., при </w:t>
      </w:r>
      <w:r>
        <w:rPr>
          <w:rFonts w:ascii="Times New Roman" w:hAnsi="Times New Roman" w:cs="Times New Roman"/>
          <w:color w:val="auto"/>
          <w:lang w:val="mk-MK"/>
        </w:rPr>
        <w:t>вработување, социјална помош или судски одлуки). Ова може несвесно да ги маргинализира ранливите групи и да ги прекрши основните човекови права.</w:t>
      </w:r>
    </w:p>
    <w:p w14:paraId="0F57224E" w14:textId="77777777" w:rsidR="00FE200F" w:rsidRDefault="00FE200F">
      <w:pPr>
        <w:jc w:val="both"/>
        <w:rPr>
          <w:rFonts w:ascii="Times New Roman" w:hAnsi="Times New Roman" w:cs="Times New Roman"/>
          <w:color w:val="auto"/>
          <w:lang w:val="mk-MK"/>
        </w:rPr>
      </w:pPr>
    </w:p>
    <w:p w14:paraId="1CCBC036"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З4: Структурна невработеност поради автоматизација</w:t>
      </w:r>
    </w:p>
    <w:p w14:paraId="4F99A218"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Иако ВИ креира нови работни места, таа истовремено автомати</w:t>
      </w:r>
      <w:r>
        <w:rPr>
          <w:rFonts w:ascii="Times New Roman" w:hAnsi="Times New Roman" w:cs="Times New Roman"/>
          <w:color w:val="auto"/>
          <w:lang w:val="mk-MK"/>
        </w:rPr>
        <w:t>зира многу постоечки професии (администрација, повикувачки центри, основно сметководство, преведување, анализа на податоци, програмирање, креативни индустрии, стенографија, маркетинг, комуникации, новинарство, итн). Доколку државата не спроведе навремени и</w:t>
      </w:r>
      <w:r>
        <w:rPr>
          <w:rFonts w:ascii="Times New Roman" w:hAnsi="Times New Roman" w:cs="Times New Roman"/>
          <w:color w:val="auto"/>
          <w:lang w:val="mk-MK"/>
        </w:rPr>
        <w:t xml:space="preserve"> масовни програми за преквалификација (</w:t>
      </w:r>
      <w:r>
        <w:rPr>
          <w:rFonts w:ascii="Times New Roman" w:hAnsi="Times New Roman" w:cs="Times New Roman"/>
          <w:i/>
          <w:iCs/>
          <w:color w:val="auto"/>
          <w:lang w:val="mk-MK"/>
        </w:rPr>
        <w:t>reskilling/upskilling</w:t>
      </w:r>
      <w:r>
        <w:rPr>
          <w:rFonts w:ascii="Times New Roman" w:hAnsi="Times New Roman" w:cs="Times New Roman"/>
          <w:color w:val="auto"/>
          <w:lang w:val="mk-MK"/>
        </w:rPr>
        <w:t>), постои закана од нагло зголемување на структурната невработеност во голем број на сектори.</w:t>
      </w:r>
    </w:p>
    <w:p w14:paraId="53EC61B0" w14:textId="77777777" w:rsidR="00FE200F" w:rsidRDefault="00FE200F">
      <w:pPr>
        <w:jc w:val="both"/>
        <w:rPr>
          <w:rFonts w:ascii="Times New Roman" w:hAnsi="Times New Roman" w:cs="Times New Roman"/>
          <w:color w:val="auto"/>
          <w:lang w:val="mk-MK"/>
        </w:rPr>
      </w:pPr>
    </w:p>
    <w:p w14:paraId="2E6C7727"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З4а: Неусогласеност на динамиката меѓу РЈА иимплементацијата на ВИ</w:t>
      </w:r>
    </w:p>
    <w:p w14:paraId="1223E152"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Доколку дигитализацијата на регист</w:t>
      </w:r>
      <w:r>
        <w:rPr>
          <w:rFonts w:ascii="Times New Roman" w:hAnsi="Times New Roman" w:cs="Times New Roman"/>
          <w:color w:val="auto"/>
          <w:lang w:val="mk-MK"/>
        </w:rPr>
        <w:t>рите и воведувањето на ДМС системите (предвидени во РЈА) доцнат, тоа директно ќе ја блокира имплементацијата на ВИ во јавниот сектор, бидејќи ВИ системите нема да имаат дигитална инфраструктура врз која би функционирале. Ова е особено критично, бидејќи РЈА</w:t>
      </w:r>
      <w:r>
        <w:rPr>
          <w:rFonts w:ascii="Times New Roman" w:hAnsi="Times New Roman" w:cs="Times New Roman"/>
          <w:color w:val="auto"/>
          <w:lang w:val="mk-MK"/>
        </w:rPr>
        <w:t xml:space="preserve"> и Стратегијата за ВИ имаат преклопувачки временски рамки (2025–2030).</w:t>
      </w:r>
    </w:p>
    <w:p w14:paraId="0587CB94" w14:textId="77777777" w:rsidR="00FE200F" w:rsidRDefault="00FE200F">
      <w:pPr>
        <w:jc w:val="both"/>
        <w:rPr>
          <w:rFonts w:ascii="Times New Roman" w:hAnsi="Times New Roman" w:cs="Times New Roman"/>
          <w:color w:val="auto"/>
          <w:lang w:val="mk-MK"/>
        </w:rPr>
      </w:pPr>
    </w:p>
    <w:p w14:paraId="45999680"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З5: Зависност од глобалните технолошки гиганти (</w:t>
      </w:r>
      <w:r>
        <w:rPr>
          <w:rFonts w:ascii="Times New Roman" w:hAnsi="Times New Roman" w:cs="Times New Roman"/>
          <w:b/>
          <w:i/>
          <w:iCs/>
          <w:color w:val="auto"/>
          <w:lang w:val="mk-MK"/>
        </w:rPr>
        <w:t>Big Tech</w:t>
      </w:r>
      <w:r>
        <w:rPr>
          <w:rFonts w:ascii="Times New Roman" w:hAnsi="Times New Roman" w:cs="Times New Roman"/>
          <w:b/>
          <w:color w:val="auto"/>
          <w:lang w:val="mk-MK"/>
        </w:rPr>
        <w:t>)</w:t>
      </w:r>
    </w:p>
    <w:p w14:paraId="302F8D02"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Преголемото потпирање на готовите ВИ решенија и инфраструктура во облак од глобалните корпорации (</w:t>
      </w:r>
      <w:r>
        <w:rPr>
          <w:rFonts w:ascii="Times New Roman" w:hAnsi="Times New Roman" w:cs="Times New Roman"/>
          <w:i/>
          <w:iCs/>
          <w:color w:val="auto"/>
          <w:lang w:val="mk-MK"/>
        </w:rPr>
        <w:t>Google, Microsoft, Amazon</w:t>
      </w:r>
      <w:r>
        <w:rPr>
          <w:rFonts w:ascii="Times New Roman" w:hAnsi="Times New Roman" w:cs="Times New Roman"/>
          <w:color w:val="auto"/>
          <w:lang w:val="mk-MK"/>
        </w:rPr>
        <w:t>) с</w:t>
      </w:r>
      <w:r>
        <w:rPr>
          <w:rFonts w:ascii="Times New Roman" w:hAnsi="Times New Roman" w:cs="Times New Roman"/>
          <w:color w:val="auto"/>
          <w:lang w:val="mk-MK"/>
        </w:rPr>
        <w:t>оздава технолошка зависност. Ова ја загрозува дигиталната сувереност на државата, бидејќи критичните државни податоци и алгоритми се контролираат од странски ентитети кои можат еднострано да ги променат условите за користење.</w:t>
      </w:r>
    </w:p>
    <w:p w14:paraId="2B415DC5" w14:textId="77777777" w:rsidR="00FE200F" w:rsidRDefault="00FE200F">
      <w:pPr>
        <w:jc w:val="both"/>
        <w:rPr>
          <w:rFonts w:ascii="Times New Roman" w:hAnsi="Times New Roman" w:cs="Times New Roman"/>
          <w:color w:val="auto"/>
          <w:lang w:val="mk-MK"/>
        </w:rPr>
      </w:pPr>
    </w:p>
    <w:p w14:paraId="05B71275"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З6: Етички и правни ризици (К</w:t>
      </w:r>
      <w:r>
        <w:rPr>
          <w:rFonts w:ascii="Times New Roman" w:hAnsi="Times New Roman" w:cs="Times New Roman"/>
          <w:b/>
          <w:color w:val="auto"/>
          <w:lang w:val="mk-MK"/>
        </w:rPr>
        <w:t>ршење на приватноста)</w:t>
      </w:r>
    </w:p>
    <w:p w14:paraId="5B4BB558"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Несоодветната употреба на ВИ технологиите, особено системите за биометриска идентификација во реално време или масовен надзор, претставува директна закана за приватноста на граѓаните. Без строга регулација усогласена со ЕУ </w:t>
      </w:r>
      <w:r>
        <w:rPr>
          <w:rFonts w:ascii="Times New Roman" w:hAnsi="Times New Roman" w:cs="Times New Roman"/>
          <w:i/>
          <w:iCs/>
          <w:color w:val="auto"/>
          <w:lang w:val="mk-MK"/>
        </w:rPr>
        <w:t>AI Act</w:t>
      </w:r>
      <w:r>
        <w:rPr>
          <w:rFonts w:ascii="Times New Roman" w:hAnsi="Times New Roman" w:cs="Times New Roman"/>
          <w:color w:val="auto"/>
          <w:lang w:val="mk-MK"/>
        </w:rPr>
        <w:t>, пос</w:t>
      </w:r>
      <w:r>
        <w:rPr>
          <w:rFonts w:ascii="Times New Roman" w:hAnsi="Times New Roman" w:cs="Times New Roman"/>
          <w:color w:val="auto"/>
          <w:lang w:val="mk-MK"/>
        </w:rPr>
        <w:t>тои ризик од злоупотреба на овие технологии од страна на државни или приватни актери.</w:t>
      </w:r>
    </w:p>
    <w:p w14:paraId="0278DC92" w14:textId="77777777" w:rsidR="00FE200F" w:rsidRDefault="00FE200F">
      <w:pPr>
        <w:jc w:val="both"/>
        <w:rPr>
          <w:rFonts w:ascii="Times New Roman" w:hAnsi="Times New Roman" w:cs="Times New Roman"/>
          <w:color w:val="auto"/>
          <w:lang w:val="mk-MK"/>
        </w:rPr>
      </w:pPr>
    </w:p>
    <w:p w14:paraId="71B27A38"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З7: Отпор кон промени и недоверба на граѓаните</w:t>
      </w:r>
    </w:p>
    <w:p w14:paraId="6707A47D"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Стравувањата од непознатото, загриженоста за губење на работните места и неразбирањето на технологијата можат да предизвик</w:t>
      </w:r>
      <w:r>
        <w:rPr>
          <w:rFonts w:ascii="Times New Roman" w:hAnsi="Times New Roman" w:cs="Times New Roman"/>
          <w:color w:val="auto"/>
          <w:lang w:val="mk-MK"/>
        </w:rPr>
        <w:t>аат силен отпор кон имплементацијата на ВИ. Доколку граѓаните и вработените во јавната администрација немаат доверба во системите, дури и најдобрите технички решенија ќе бидат бојкотирани и нема да ги дадат очекуваните резултати.</w:t>
      </w:r>
    </w:p>
    <w:p w14:paraId="2B3E40A1" w14:textId="77777777" w:rsidR="00FE200F" w:rsidRDefault="00FE200F">
      <w:pPr>
        <w:jc w:val="both"/>
        <w:rPr>
          <w:rFonts w:ascii="Times New Roman" w:hAnsi="Times New Roman" w:cs="Times New Roman"/>
          <w:color w:val="auto"/>
          <w:lang w:val="mk-MK"/>
        </w:rPr>
      </w:pPr>
    </w:p>
    <w:p w14:paraId="0E422593"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З8: Политичка нестабилнос</w:t>
      </w:r>
      <w:r>
        <w:rPr>
          <w:rFonts w:ascii="Times New Roman" w:hAnsi="Times New Roman" w:cs="Times New Roman"/>
          <w:b/>
          <w:color w:val="auto"/>
          <w:lang w:val="mk-MK"/>
        </w:rPr>
        <w:t>т и дисконтинуитет</w:t>
      </w:r>
    </w:p>
    <w:p w14:paraId="1AA83E03"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Развојот на ВИ екосистем бара долгорочна визија и континуирани инвестиции кои ги надминуваат 4-годишните изборни циклуси. Честите промени во владата и раководните структури на институциите претставуваат закана за континуитетот во спровед</w:t>
      </w:r>
      <w:r>
        <w:rPr>
          <w:rFonts w:ascii="Times New Roman" w:hAnsi="Times New Roman" w:cs="Times New Roman"/>
          <w:color w:val="auto"/>
          <w:lang w:val="mk-MK"/>
        </w:rPr>
        <w:t>увањето на Стратегијата за ВИ, што може да доведе до недовршени проекти и изгубени ресурси.</w:t>
      </w:r>
    </w:p>
    <w:p w14:paraId="435FC91D" w14:textId="77777777" w:rsidR="00FE200F" w:rsidRDefault="00FE200F">
      <w:pPr>
        <w:jc w:val="both"/>
        <w:rPr>
          <w:rFonts w:ascii="Times New Roman" w:hAnsi="Times New Roman" w:cs="Times New Roman"/>
          <w:color w:val="auto"/>
          <w:lang w:val="mk-MK"/>
        </w:rPr>
      </w:pPr>
    </w:p>
    <w:p w14:paraId="4CB33713" w14:textId="77777777" w:rsidR="00FE200F" w:rsidRDefault="00E77CAF">
      <w:pPr>
        <w:jc w:val="both"/>
        <w:rPr>
          <w:rFonts w:ascii="Times New Roman" w:hAnsi="Times New Roman" w:cs="Times New Roman"/>
          <w:lang w:val="mk-MK"/>
        </w:rPr>
      </w:pPr>
      <w:r>
        <w:rPr>
          <w:rFonts w:ascii="Times New Roman" w:hAnsi="Times New Roman" w:cs="Times New Roman"/>
          <w:b/>
          <w:bCs/>
          <w:color w:val="auto"/>
          <w:lang w:val="mk-MK"/>
        </w:rPr>
        <w:t>З9: Структурен јаз во развојот и дифузијата на ВИ (</w:t>
      </w:r>
      <w:r>
        <w:rPr>
          <w:rFonts w:ascii="Times New Roman" w:hAnsi="Times New Roman" w:cs="Times New Roman"/>
          <w:b/>
          <w:bCs/>
          <w:i/>
          <w:iCs/>
          <w:color w:val="auto"/>
          <w:lang w:val="mk-MK"/>
        </w:rPr>
        <w:t>Development &amp; Diffusion</w:t>
      </w:r>
      <w:r>
        <w:rPr>
          <w:rFonts w:ascii="Times New Roman" w:hAnsi="Times New Roman" w:cs="Times New Roman"/>
          <w:b/>
          <w:bCs/>
          <w:color w:val="auto"/>
          <w:lang w:val="mk-MK"/>
        </w:rPr>
        <w:t>)</w:t>
      </w:r>
    </w:p>
    <w:p w14:paraId="1254B011" w14:textId="77777777" w:rsidR="00FE200F" w:rsidRDefault="00E77CAF">
      <w:pPr>
        <w:jc w:val="both"/>
        <w:rPr>
          <w:rFonts w:ascii="Times New Roman" w:hAnsi="Times New Roman" w:cs="Times New Roman"/>
          <w:lang w:val="mk-MK"/>
        </w:rPr>
      </w:pPr>
      <w:r>
        <w:rPr>
          <w:rFonts w:ascii="Times New Roman" w:hAnsi="Times New Roman" w:cs="Times New Roman"/>
          <w:i/>
          <w:iCs/>
          <w:color w:val="auto"/>
          <w:lang w:val="mk-MK"/>
        </w:rPr>
        <w:t>Oxford Insights Government AI Readiness Index 2025</w:t>
      </w:r>
      <w:r>
        <w:rPr>
          <w:rFonts w:ascii="Times New Roman" w:hAnsi="Times New Roman" w:cs="Times New Roman"/>
          <w:color w:val="auto"/>
          <w:lang w:val="mk-MK"/>
        </w:rPr>
        <w:t xml:space="preserve"> ја идентификува </w:t>
      </w:r>
      <w:r>
        <w:rPr>
          <w:rFonts w:ascii="Times New Roman" w:hAnsi="Times New Roman" w:cs="Times New Roman"/>
          <w:i/>
          <w:iCs/>
          <w:color w:val="auto"/>
          <w:lang w:val="mk-MK"/>
        </w:rPr>
        <w:t xml:space="preserve">Development &amp; </w:t>
      </w:r>
      <w:r>
        <w:rPr>
          <w:rFonts w:ascii="Times New Roman" w:hAnsi="Times New Roman" w:cs="Times New Roman"/>
          <w:i/>
          <w:iCs/>
          <w:color w:val="auto"/>
          <w:lang w:val="mk-MK"/>
        </w:rPr>
        <w:t>Diffusion</w:t>
      </w:r>
      <w:r>
        <w:rPr>
          <w:rFonts w:ascii="Times New Roman" w:hAnsi="Times New Roman" w:cs="Times New Roman"/>
          <w:color w:val="auto"/>
          <w:lang w:val="mk-MK"/>
        </w:rPr>
        <w:t xml:space="preserve"> димензијата - која ги мери зрелоста на домашниот ВИ сектор, густината на ВИ таленти, истражувачкиот капацитет и дифузијата на технологијата во економијата - како системска слабост за целиот регион, но особено за Македонија. Македонија бележи </w:t>
      </w:r>
      <w:r>
        <w:rPr>
          <w:rFonts w:ascii="Times New Roman" w:hAnsi="Times New Roman" w:cs="Times New Roman"/>
          <w:i/>
          <w:iCs/>
          <w:color w:val="auto"/>
          <w:lang w:val="mk-MK"/>
        </w:rPr>
        <w:t>Deve</w:t>
      </w:r>
      <w:r>
        <w:rPr>
          <w:rFonts w:ascii="Times New Roman" w:hAnsi="Times New Roman" w:cs="Times New Roman"/>
          <w:i/>
          <w:iCs/>
          <w:color w:val="auto"/>
          <w:lang w:val="mk-MK"/>
        </w:rPr>
        <w:t>lopment &amp; Diffusion score</w:t>
      </w:r>
      <w:r>
        <w:rPr>
          <w:rFonts w:ascii="Times New Roman" w:hAnsi="Times New Roman" w:cs="Times New Roman"/>
          <w:color w:val="auto"/>
          <w:lang w:val="mk-MK"/>
        </w:rPr>
        <w:t xml:space="preserve"> од само 24.85/100, под Хрватска (29.92), Србија (35.78) и далеку под глобалниот просек. Ова укажува дека предизвикот не е само регулаторен или стратешки, туку длабоко структурен: недостаток на ВИ истражувачи и инженери, ограничена</w:t>
      </w:r>
      <w:r>
        <w:rPr>
          <w:rFonts w:ascii="Times New Roman" w:hAnsi="Times New Roman" w:cs="Times New Roman"/>
          <w:color w:val="auto"/>
          <w:lang w:val="mk-MK"/>
        </w:rPr>
        <w:t xml:space="preserve"> комерцијализација на академски истражувања, слаба апсорпциска способност на приватниот сектор за усвојување на ВИ технологии, и минимална застапеност на ВИ компании со меѓународна конкурентност. Без систематско инвестирање во таленти, истражување и комерц</w:t>
      </w:r>
      <w:r>
        <w:rPr>
          <w:rFonts w:ascii="Times New Roman" w:hAnsi="Times New Roman" w:cs="Times New Roman"/>
          <w:color w:val="auto"/>
          <w:lang w:val="mk-MK"/>
        </w:rPr>
        <w:t xml:space="preserve">ијализација, регулаторните реформи нема да доведат до реален економски раст базиран на ВИ. Оваа закана е особено критична бидејќи </w:t>
      </w:r>
      <w:r>
        <w:rPr>
          <w:rFonts w:ascii="Times New Roman" w:hAnsi="Times New Roman" w:cs="Times New Roman"/>
          <w:i/>
          <w:iCs/>
          <w:color w:val="auto"/>
          <w:lang w:val="mk-MK"/>
        </w:rPr>
        <w:t>Development &amp; Diffusion</w:t>
      </w:r>
      <w:r>
        <w:rPr>
          <w:rFonts w:ascii="Times New Roman" w:hAnsi="Times New Roman" w:cs="Times New Roman"/>
          <w:color w:val="auto"/>
          <w:lang w:val="mk-MK"/>
        </w:rPr>
        <w:t xml:space="preserve"> е долгорочен структурен предизвик кој бара 5–10 години за значајна промена.</w:t>
      </w:r>
    </w:p>
    <w:p w14:paraId="55F33FAF" w14:textId="77777777" w:rsidR="00FE200F" w:rsidRDefault="00FE200F">
      <w:pPr>
        <w:jc w:val="both"/>
        <w:rPr>
          <w:rFonts w:ascii="Times New Roman" w:hAnsi="Times New Roman" w:cs="Times New Roman"/>
          <w:color w:val="auto"/>
          <w:lang w:val="mk-MK"/>
        </w:rPr>
      </w:pPr>
    </w:p>
    <w:p w14:paraId="6FDF0FA9" w14:textId="77777777" w:rsidR="00FE200F" w:rsidRDefault="00E77CAF">
      <w:pPr>
        <w:pStyle w:val="Heading2"/>
        <w:jc w:val="both"/>
        <w:rPr>
          <w:rFonts w:ascii="Times New Roman" w:hAnsi="Times New Roman" w:cs="Times New Roman"/>
          <w:lang w:val="mk-MK"/>
        </w:rPr>
      </w:pPr>
      <w:bookmarkStart w:id="67" w:name="_Toc240630059"/>
      <w:bookmarkStart w:id="68" w:name="_Toc243908002"/>
      <w:r>
        <w:rPr>
          <w:rFonts w:ascii="Times New Roman" w:hAnsi="Times New Roman" w:cs="Times New Roman"/>
          <w:color w:val="auto"/>
          <w:sz w:val="24"/>
          <w:szCs w:val="24"/>
          <w:lang w:val="mk-MK"/>
        </w:rPr>
        <w:t xml:space="preserve">4.5 TOWS Матрица - </w:t>
      </w:r>
      <w:r>
        <w:rPr>
          <w:rFonts w:ascii="Times New Roman" w:hAnsi="Times New Roman" w:cs="Times New Roman"/>
          <w:color w:val="auto"/>
          <w:sz w:val="24"/>
          <w:szCs w:val="24"/>
          <w:lang w:val="mk-MK"/>
        </w:rPr>
        <w:t>Стратешки опции</w:t>
      </w:r>
      <w:bookmarkEnd w:id="67"/>
      <w:bookmarkEnd w:id="68"/>
    </w:p>
    <w:p w14:paraId="5B68C698"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TOWS матрицата е аналитичка алатка која ги комбинира внатрешните фактори (Силни страни и Слабости) со надворешните фактори (Можности и Закани) со цел да генерира конкретни стратешки опции. За разлика од стандардната SWOT анализа која само г</w:t>
      </w:r>
      <w:r>
        <w:rPr>
          <w:rFonts w:ascii="Times New Roman" w:hAnsi="Times New Roman" w:cs="Times New Roman"/>
          <w:color w:val="auto"/>
          <w:lang w:val="mk-MK"/>
        </w:rPr>
        <w:t xml:space="preserve">и </w:t>
      </w:r>
      <w:r>
        <w:rPr>
          <w:rFonts w:ascii="Times New Roman" w:hAnsi="Times New Roman" w:cs="Times New Roman"/>
          <w:color w:val="auto"/>
          <w:lang w:val="mk-MK"/>
        </w:rPr>
        <w:lastRenderedPageBreak/>
        <w:t xml:space="preserve">идентификува факторите, TOWS матрицата одговара на прашањето: </w:t>
      </w:r>
      <w:r>
        <w:rPr>
          <w:rFonts w:ascii="Times New Roman" w:hAnsi="Times New Roman" w:cs="Times New Roman"/>
          <w:b/>
          <w:color w:val="auto"/>
          <w:lang w:val="mk-MK"/>
        </w:rPr>
        <w:t>„Како да дејствуваме?“</w:t>
      </w:r>
      <w:r>
        <w:rPr>
          <w:rFonts w:ascii="Times New Roman" w:hAnsi="Times New Roman" w:cs="Times New Roman"/>
          <w:color w:val="auto"/>
          <w:lang w:val="mk-MK"/>
        </w:rPr>
        <w:t xml:space="preserve"> Четирите квадранти генерираат четири типа стратегии:</w:t>
      </w:r>
    </w:p>
    <w:p w14:paraId="5D97AD54" w14:textId="77777777" w:rsidR="00FE200F" w:rsidRDefault="00E77CAF">
      <w:pPr>
        <w:pStyle w:val="ListBullet"/>
        <w:jc w:val="both"/>
        <w:rPr>
          <w:rFonts w:ascii="Times New Roman" w:hAnsi="Times New Roman" w:cs="Times New Roman"/>
          <w:lang w:val="mk-MK"/>
        </w:rPr>
      </w:pPr>
      <w:r>
        <w:rPr>
          <w:rFonts w:ascii="Times New Roman" w:hAnsi="Times New Roman" w:cs="Times New Roman"/>
          <w:b/>
          <w:color w:val="auto"/>
          <w:lang w:val="mk-MK"/>
        </w:rPr>
        <w:t>СМ стратегии (</w:t>
      </w:r>
      <w:r>
        <w:rPr>
          <w:rFonts w:ascii="Times New Roman" w:hAnsi="Times New Roman" w:cs="Times New Roman"/>
          <w:b/>
          <w:i/>
          <w:iCs/>
          <w:color w:val="auto"/>
          <w:lang w:val="mk-MK"/>
        </w:rPr>
        <w:t>Maxi-Maxi</w:t>
      </w:r>
      <w:r>
        <w:rPr>
          <w:rFonts w:ascii="Times New Roman" w:hAnsi="Times New Roman" w:cs="Times New Roman"/>
          <w:b/>
          <w:color w:val="auto"/>
          <w:lang w:val="mk-MK"/>
        </w:rPr>
        <w:t>):</w:t>
      </w:r>
      <w:r>
        <w:rPr>
          <w:rFonts w:ascii="Times New Roman" w:hAnsi="Times New Roman" w:cs="Times New Roman"/>
          <w:color w:val="auto"/>
          <w:lang w:val="mk-MK"/>
        </w:rPr>
        <w:t xml:space="preserve"> Употреба на силните страни за искористување на можностите - стратегии за агресивен раст</w:t>
      </w:r>
    </w:p>
    <w:p w14:paraId="1EE14FE0" w14:textId="77777777" w:rsidR="00FE200F" w:rsidRDefault="00E77CAF">
      <w:pPr>
        <w:pStyle w:val="ListBullet"/>
        <w:jc w:val="both"/>
        <w:rPr>
          <w:rFonts w:ascii="Times New Roman" w:hAnsi="Times New Roman" w:cs="Times New Roman"/>
          <w:lang w:val="mk-MK"/>
        </w:rPr>
      </w:pPr>
      <w:r>
        <w:rPr>
          <w:rFonts w:ascii="Times New Roman" w:hAnsi="Times New Roman" w:cs="Times New Roman"/>
          <w:b/>
          <w:color w:val="auto"/>
          <w:lang w:val="mk-MK"/>
        </w:rPr>
        <w:t>СЗ</w:t>
      </w:r>
      <w:r>
        <w:rPr>
          <w:rFonts w:ascii="Times New Roman" w:hAnsi="Times New Roman" w:cs="Times New Roman"/>
          <w:b/>
          <w:color w:val="auto"/>
          <w:lang w:val="mk-MK"/>
        </w:rPr>
        <w:t xml:space="preserve"> стратегии (</w:t>
      </w:r>
      <w:r>
        <w:rPr>
          <w:rFonts w:ascii="Times New Roman" w:hAnsi="Times New Roman" w:cs="Times New Roman"/>
          <w:b/>
          <w:i/>
          <w:iCs/>
          <w:color w:val="auto"/>
          <w:lang w:val="mk-MK"/>
        </w:rPr>
        <w:t>Maxi-Mini</w:t>
      </w:r>
      <w:r>
        <w:rPr>
          <w:rFonts w:ascii="Times New Roman" w:hAnsi="Times New Roman" w:cs="Times New Roman"/>
          <w:b/>
          <w:color w:val="auto"/>
          <w:lang w:val="mk-MK"/>
        </w:rPr>
        <w:t>):</w:t>
      </w:r>
      <w:r>
        <w:rPr>
          <w:rFonts w:ascii="Times New Roman" w:hAnsi="Times New Roman" w:cs="Times New Roman"/>
          <w:color w:val="auto"/>
          <w:lang w:val="mk-MK"/>
        </w:rPr>
        <w:t xml:space="preserve"> Употреба на силните страни за неутрализирање на заканите — стратегии за диверзификација и заштита</w:t>
      </w:r>
    </w:p>
    <w:p w14:paraId="44C20E7B" w14:textId="77777777" w:rsidR="00FE200F" w:rsidRDefault="00E77CAF">
      <w:pPr>
        <w:pStyle w:val="ListBullet"/>
        <w:jc w:val="both"/>
        <w:rPr>
          <w:rFonts w:ascii="Times New Roman" w:hAnsi="Times New Roman" w:cs="Times New Roman"/>
          <w:lang w:val="mk-MK"/>
        </w:rPr>
      </w:pPr>
      <w:r>
        <w:rPr>
          <w:rFonts w:ascii="Times New Roman" w:hAnsi="Times New Roman" w:cs="Times New Roman"/>
          <w:b/>
          <w:color w:val="auto"/>
          <w:lang w:val="mk-MK"/>
        </w:rPr>
        <w:t>Сл</w:t>
      </w:r>
      <w:r>
        <w:rPr>
          <w:rFonts w:ascii="Times New Roman" w:hAnsi="Times New Roman" w:cs="Times New Roman"/>
          <w:b/>
          <w:color w:val="auto"/>
        </w:rPr>
        <w:t>M</w:t>
      </w:r>
      <w:r>
        <w:rPr>
          <w:rFonts w:ascii="Times New Roman" w:hAnsi="Times New Roman" w:cs="Times New Roman"/>
          <w:b/>
          <w:color w:val="auto"/>
          <w:lang w:val="mk-MK"/>
        </w:rPr>
        <w:t xml:space="preserve"> стратегии (</w:t>
      </w:r>
      <w:r>
        <w:rPr>
          <w:rFonts w:ascii="Times New Roman" w:hAnsi="Times New Roman" w:cs="Times New Roman"/>
          <w:b/>
          <w:i/>
          <w:iCs/>
          <w:color w:val="auto"/>
          <w:lang w:val="mk-MK"/>
        </w:rPr>
        <w:t>Mini-Maxi</w:t>
      </w:r>
      <w:r>
        <w:rPr>
          <w:rFonts w:ascii="Times New Roman" w:hAnsi="Times New Roman" w:cs="Times New Roman"/>
          <w:b/>
          <w:color w:val="auto"/>
          <w:lang w:val="mk-MK"/>
        </w:rPr>
        <w:t>):</w:t>
      </w:r>
      <w:r>
        <w:rPr>
          <w:rFonts w:ascii="Times New Roman" w:hAnsi="Times New Roman" w:cs="Times New Roman"/>
          <w:color w:val="auto"/>
          <w:lang w:val="mk-MK"/>
        </w:rPr>
        <w:t xml:space="preserve"> Надминување на слабостите преку искористување на можностите — стратегии за пресврт</w:t>
      </w:r>
    </w:p>
    <w:p w14:paraId="63B250CF" w14:textId="77777777" w:rsidR="00FE200F" w:rsidRDefault="00E77CAF">
      <w:pPr>
        <w:pStyle w:val="ListBullet"/>
        <w:jc w:val="both"/>
        <w:rPr>
          <w:rFonts w:ascii="Times New Roman" w:hAnsi="Times New Roman" w:cs="Times New Roman"/>
          <w:lang w:val="mk-MK"/>
        </w:rPr>
      </w:pPr>
      <w:r>
        <w:rPr>
          <w:rFonts w:ascii="Times New Roman" w:hAnsi="Times New Roman" w:cs="Times New Roman"/>
          <w:b/>
          <w:color w:val="auto"/>
          <w:lang w:val="mk-MK"/>
        </w:rPr>
        <w:t>СлЗ стратегии (</w:t>
      </w:r>
      <w:r>
        <w:rPr>
          <w:rFonts w:ascii="Times New Roman" w:hAnsi="Times New Roman" w:cs="Times New Roman"/>
          <w:b/>
          <w:i/>
          <w:iCs/>
          <w:color w:val="auto"/>
          <w:lang w:val="mk-MK"/>
        </w:rPr>
        <w:t>Mini-Mini</w:t>
      </w:r>
      <w:r>
        <w:rPr>
          <w:rFonts w:ascii="Times New Roman" w:hAnsi="Times New Roman" w:cs="Times New Roman"/>
          <w:b/>
          <w:color w:val="auto"/>
          <w:lang w:val="mk-MK"/>
        </w:rPr>
        <w:t>):</w:t>
      </w:r>
      <w:r>
        <w:rPr>
          <w:rFonts w:ascii="Times New Roman" w:hAnsi="Times New Roman" w:cs="Times New Roman"/>
          <w:color w:val="auto"/>
          <w:lang w:val="mk-MK"/>
        </w:rPr>
        <w:t xml:space="preserve"> Минимизирање на слабостите и заканите — стратегии за одбрана и консолидација</w:t>
      </w:r>
    </w:p>
    <w:p w14:paraId="4AD30405" w14:textId="77777777" w:rsidR="00FE200F" w:rsidRDefault="00FE200F">
      <w:pPr>
        <w:rPr>
          <w:rFonts w:ascii="Times New Roman" w:hAnsi="Times New Roman" w:cs="Times New Roman"/>
          <w:color w:val="auto"/>
          <w:lang w:val="mk-MK"/>
        </w:rPr>
      </w:pPr>
    </w:p>
    <w:p w14:paraId="1C4E0019" w14:textId="77777777" w:rsidR="00FE200F" w:rsidRDefault="00E77CAF">
      <w:pPr>
        <w:pStyle w:val="Heading3"/>
        <w:jc w:val="both"/>
        <w:rPr>
          <w:rFonts w:ascii="Times New Roman" w:hAnsi="Times New Roman" w:cs="Times New Roman"/>
          <w:lang w:val="mk-MK"/>
        </w:rPr>
      </w:pPr>
      <w:bookmarkStart w:id="69" w:name="_Toc240630060"/>
      <w:bookmarkStart w:id="70" w:name="_Toc243908003"/>
      <w:r>
        <w:rPr>
          <w:rFonts w:ascii="Times New Roman" w:hAnsi="Times New Roman" w:cs="Times New Roman"/>
          <w:color w:val="auto"/>
          <w:lang w:val="mk-MK"/>
        </w:rPr>
        <w:t>СМ Стратегии — Раст и искористување на можности</w:t>
      </w:r>
      <w:bookmarkEnd w:id="69"/>
      <w:bookmarkEnd w:id="70"/>
    </w:p>
    <w:p w14:paraId="77666F1C"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СМ1: ВИ Акцелератор за паметна специјализација</w:t>
      </w:r>
    </w:p>
    <w:p w14:paraId="2FC16F92" w14:textId="77777777" w:rsidR="00FE200F" w:rsidRDefault="00E77CAF">
      <w:pPr>
        <w:jc w:val="both"/>
        <w:rPr>
          <w:rFonts w:ascii="Times New Roman" w:hAnsi="Times New Roman" w:cs="Times New Roman"/>
          <w:lang w:val="mk-MK"/>
        </w:rPr>
      </w:pPr>
      <w:r>
        <w:rPr>
          <w:rFonts w:ascii="Times New Roman" w:hAnsi="Times New Roman" w:cs="Times New Roman"/>
          <w:i/>
          <w:color w:val="auto"/>
          <w:lang w:val="mk-MK"/>
        </w:rPr>
        <w:t>(С6 × М5 × М1)</w:t>
      </w:r>
    </w:p>
    <w:p w14:paraId="2AE20B2F"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Постоечкиот стартап екосистем (ИНОВА, ИНОФЕИТ, ЕДИХ ХАБОВИ,</w:t>
      </w:r>
      <w:r>
        <w:rPr>
          <w:rFonts w:ascii="Times New Roman" w:hAnsi="Times New Roman" w:cs="Times New Roman"/>
          <w:i/>
          <w:iCs/>
          <w:color w:val="auto"/>
          <w:lang w:val="mk-MK"/>
        </w:rPr>
        <w:t xml:space="preserve"> Seavu</w:t>
      </w:r>
      <w:r>
        <w:rPr>
          <w:rFonts w:ascii="Times New Roman" w:hAnsi="Times New Roman" w:cs="Times New Roman"/>
          <w:i/>
          <w:iCs/>
          <w:color w:val="auto"/>
          <w:lang w:val="mk-MK"/>
        </w:rPr>
        <w:t>s Accelerator, CEED Hub</w:t>
      </w:r>
      <w:r>
        <w:rPr>
          <w:rFonts w:ascii="Times New Roman" w:hAnsi="Times New Roman" w:cs="Times New Roman"/>
          <w:color w:val="auto"/>
          <w:lang w:val="mk-MK"/>
        </w:rPr>
        <w:t>) (С6) може да се надгради во специјализиран ВИ акцелератор фокусиран на трите С3 приоритетни сектори: паметно земјоделство (</w:t>
      </w:r>
      <w:r>
        <w:rPr>
          <w:rFonts w:ascii="Times New Roman" w:hAnsi="Times New Roman" w:cs="Times New Roman"/>
          <w:i/>
          <w:iCs/>
          <w:color w:val="auto"/>
          <w:lang w:val="mk-MK"/>
        </w:rPr>
        <w:t>AgriTech</w:t>
      </w:r>
      <w:r>
        <w:rPr>
          <w:rFonts w:ascii="Times New Roman" w:hAnsi="Times New Roman" w:cs="Times New Roman"/>
          <w:color w:val="auto"/>
          <w:lang w:val="mk-MK"/>
        </w:rPr>
        <w:t>), финансиски технологии (</w:t>
      </w:r>
      <w:r>
        <w:rPr>
          <w:rFonts w:ascii="Times New Roman" w:hAnsi="Times New Roman" w:cs="Times New Roman"/>
          <w:i/>
          <w:iCs/>
          <w:color w:val="auto"/>
          <w:lang w:val="mk-MK"/>
        </w:rPr>
        <w:t>FinTech</w:t>
      </w:r>
      <w:r>
        <w:rPr>
          <w:rFonts w:ascii="Times New Roman" w:hAnsi="Times New Roman" w:cs="Times New Roman"/>
          <w:color w:val="auto"/>
          <w:lang w:val="mk-MK"/>
        </w:rPr>
        <w:t xml:space="preserve">) и паметни материјали. Финансирањето преку „Хоризонт Европа“ (М1) </w:t>
      </w:r>
      <w:r>
        <w:rPr>
          <w:rFonts w:ascii="Times New Roman" w:hAnsi="Times New Roman" w:cs="Times New Roman"/>
          <w:color w:val="auto"/>
          <w:lang w:val="mk-MK"/>
        </w:rPr>
        <w:t>и фокусот на нишни пазари (М5) ќе создадат конкурентни македонски ВИ производи со висока извозна вредност, наместо генерички аутсорсинг услуги.</w:t>
      </w:r>
    </w:p>
    <w:p w14:paraId="3CD3C711" w14:textId="77777777" w:rsidR="00FE200F" w:rsidRDefault="00FE200F">
      <w:pPr>
        <w:jc w:val="both"/>
        <w:rPr>
          <w:rFonts w:ascii="Times New Roman" w:hAnsi="Times New Roman" w:cs="Times New Roman"/>
          <w:color w:val="auto"/>
          <w:lang w:val="mk-MK"/>
        </w:rPr>
      </w:pPr>
    </w:p>
    <w:p w14:paraId="2388AB79"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СО2: ВИ за зелена транзиција — паметни енергетски мрежи</w:t>
      </w:r>
    </w:p>
    <w:p w14:paraId="4D2701B2" w14:textId="77777777" w:rsidR="00FE200F" w:rsidRDefault="00E77CAF">
      <w:pPr>
        <w:jc w:val="both"/>
        <w:rPr>
          <w:rFonts w:ascii="Times New Roman" w:hAnsi="Times New Roman" w:cs="Times New Roman"/>
          <w:lang w:val="mk-MK"/>
        </w:rPr>
      </w:pPr>
      <w:r>
        <w:rPr>
          <w:rFonts w:ascii="Times New Roman" w:hAnsi="Times New Roman" w:cs="Times New Roman"/>
          <w:i/>
          <w:color w:val="auto"/>
          <w:lang w:val="mk-MK"/>
        </w:rPr>
        <w:t>(С7 × М7 × М1)</w:t>
      </w:r>
    </w:p>
    <w:p w14:paraId="6C78E11A"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Високата покриеност со широкопојасен инт</w:t>
      </w:r>
      <w:r>
        <w:rPr>
          <w:rFonts w:ascii="Times New Roman" w:hAnsi="Times New Roman" w:cs="Times New Roman"/>
          <w:color w:val="auto"/>
          <w:lang w:val="mk-MK"/>
        </w:rPr>
        <w:t>ернет (С7) е предуслов за имплементација на паметни дистрибутивни мрежи (</w:t>
      </w:r>
      <w:r>
        <w:rPr>
          <w:rFonts w:ascii="Times New Roman" w:hAnsi="Times New Roman" w:cs="Times New Roman"/>
          <w:i/>
          <w:iCs/>
          <w:color w:val="auto"/>
          <w:lang w:val="mk-MK"/>
        </w:rPr>
        <w:t>smart grids</w:t>
      </w:r>
      <w:r>
        <w:rPr>
          <w:rFonts w:ascii="Times New Roman" w:hAnsi="Times New Roman" w:cs="Times New Roman"/>
          <w:color w:val="auto"/>
          <w:lang w:val="mk-MK"/>
        </w:rPr>
        <w:t>) базирани на ВИ (М7). Преку ЕУ фондови за зелена транзиција (М1), државата може да финансира пилот проекти за оптимизација на енергетска потрошувачка во општини, решавајќи</w:t>
      </w:r>
      <w:r>
        <w:rPr>
          <w:rFonts w:ascii="Times New Roman" w:hAnsi="Times New Roman" w:cs="Times New Roman"/>
          <w:color w:val="auto"/>
          <w:lang w:val="mk-MK"/>
        </w:rPr>
        <w:t xml:space="preserve"> го проблемот со загадувањето на воздухот и истовремено позиционирајќи се за ЕУ климатски цели.</w:t>
      </w:r>
    </w:p>
    <w:p w14:paraId="7460A1AC" w14:textId="77777777" w:rsidR="00FE200F" w:rsidRDefault="00FE200F">
      <w:pPr>
        <w:pStyle w:val="Heading3"/>
        <w:jc w:val="both"/>
        <w:rPr>
          <w:rFonts w:ascii="Times New Roman" w:hAnsi="Times New Roman" w:cs="Times New Roman"/>
          <w:color w:val="auto"/>
          <w:lang w:val="mk-MK"/>
        </w:rPr>
      </w:pPr>
    </w:p>
    <w:p w14:paraId="3A272DA9" w14:textId="77777777" w:rsidR="00FE200F" w:rsidRDefault="00E77CAF">
      <w:pPr>
        <w:pStyle w:val="Heading3"/>
        <w:jc w:val="both"/>
        <w:rPr>
          <w:rFonts w:ascii="Times New Roman" w:hAnsi="Times New Roman" w:cs="Times New Roman"/>
          <w:lang w:val="mk-MK"/>
        </w:rPr>
      </w:pPr>
      <w:bookmarkStart w:id="71" w:name="_Toc240630061"/>
      <w:bookmarkStart w:id="72" w:name="_Toc243908004"/>
      <w:r>
        <w:rPr>
          <w:rFonts w:ascii="Times New Roman" w:hAnsi="Times New Roman" w:cs="Times New Roman"/>
          <w:color w:val="auto"/>
          <w:lang w:val="mk-MK"/>
        </w:rPr>
        <w:t>СЗ Стратегии — Заштита и диверзификација</w:t>
      </w:r>
      <w:bookmarkEnd w:id="71"/>
      <w:bookmarkEnd w:id="72"/>
    </w:p>
    <w:p w14:paraId="0C0F6EB6"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 xml:space="preserve">СЗ1: Регулаторна рамка за ВИ усогласена со ЕУ </w:t>
      </w:r>
      <w:r>
        <w:rPr>
          <w:rFonts w:ascii="Times New Roman" w:hAnsi="Times New Roman" w:cs="Times New Roman"/>
          <w:b/>
          <w:i/>
          <w:iCs/>
          <w:color w:val="auto"/>
          <w:lang w:val="mk-MK"/>
        </w:rPr>
        <w:t>AI Act</w:t>
      </w:r>
    </w:p>
    <w:p w14:paraId="4716E614" w14:textId="77777777" w:rsidR="00FE200F" w:rsidRDefault="00E77CAF">
      <w:pPr>
        <w:jc w:val="both"/>
        <w:rPr>
          <w:rFonts w:ascii="Times New Roman" w:hAnsi="Times New Roman" w:cs="Times New Roman"/>
          <w:lang w:val="mk-MK"/>
        </w:rPr>
      </w:pPr>
      <w:r>
        <w:rPr>
          <w:rFonts w:ascii="Times New Roman" w:hAnsi="Times New Roman" w:cs="Times New Roman"/>
          <w:i/>
          <w:color w:val="auto"/>
          <w:lang w:val="mk-MK"/>
        </w:rPr>
        <w:t>(С5 × З1 × З6)</w:t>
      </w:r>
    </w:p>
    <w:p w14:paraId="54855C50"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Постоечкиот </w:t>
      </w:r>
      <w:r>
        <w:rPr>
          <w:rFonts w:ascii="Times New Roman" w:hAnsi="Times New Roman" w:cs="Times New Roman"/>
          <w:i/>
          <w:iCs/>
          <w:color w:val="auto"/>
          <w:lang w:val="mk-MK"/>
        </w:rPr>
        <w:t>GDPR</w:t>
      </w:r>
      <w:r>
        <w:rPr>
          <w:rFonts w:ascii="Times New Roman" w:hAnsi="Times New Roman" w:cs="Times New Roman"/>
          <w:color w:val="auto"/>
          <w:lang w:val="mk-MK"/>
        </w:rPr>
        <w:t>-усогласен ЗЗЛП (С5) е цврста осно</w:t>
      </w:r>
      <w:r>
        <w:rPr>
          <w:rFonts w:ascii="Times New Roman" w:hAnsi="Times New Roman" w:cs="Times New Roman"/>
          <w:color w:val="auto"/>
          <w:lang w:val="mk-MK"/>
        </w:rPr>
        <w:t xml:space="preserve">ва врз која може да се надгради специфична регулатива за ВИ усогласена со ЕУ </w:t>
      </w:r>
      <w:r>
        <w:rPr>
          <w:rFonts w:ascii="Times New Roman" w:hAnsi="Times New Roman" w:cs="Times New Roman"/>
          <w:i/>
          <w:iCs/>
          <w:color w:val="auto"/>
          <w:lang w:val="mk-MK"/>
        </w:rPr>
        <w:t>AI Act</w:t>
      </w:r>
      <w:r>
        <w:rPr>
          <w:rFonts w:ascii="Times New Roman" w:hAnsi="Times New Roman" w:cs="Times New Roman"/>
          <w:color w:val="auto"/>
          <w:lang w:val="mk-MK"/>
        </w:rPr>
        <w:t xml:space="preserve">, пред регионалните конкуренти да создадат поголема предност (З1). Ова ќе ги заштити граѓаните од алгоритамска дискриминација и кршење на приватноста (З6), а истовремено ќе </w:t>
      </w:r>
      <w:r>
        <w:rPr>
          <w:rFonts w:ascii="Times New Roman" w:hAnsi="Times New Roman" w:cs="Times New Roman"/>
          <w:color w:val="auto"/>
          <w:lang w:val="mk-MK"/>
        </w:rPr>
        <w:t>создаде правна сигурност за странски инвеститори — конкурентна предност наспроти земји со регулаторна неизвесност.</w:t>
      </w:r>
    </w:p>
    <w:p w14:paraId="1B335B1B" w14:textId="77777777" w:rsidR="00FE200F" w:rsidRDefault="00FE200F">
      <w:pPr>
        <w:jc w:val="both"/>
        <w:rPr>
          <w:rFonts w:ascii="Times New Roman" w:hAnsi="Times New Roman" w:cs="Times New Roman"/>
          <w:color w:val="auto"/>
          <w:lang w:val="mk-MK"/>
        </w:rPr>
      </w:pPr>
    </w:p>
    <w:p w14:paraId="1C3ADFD2"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СЗ2: Национален центар за сајбер-безбедност со ВИ</w:t>
      </w:r>
    </w:p>
    <w:p w14:paraId="19A939EF" w14:textId="77777777" w:rsidR="00FE200F" w:rsidRDefault="00E77CAF">
      <w:pPr>
        <w:jc w:val="both"/>
        <w:rPr>
          <w:rFonts w:ascii="Times New Roman" w:hAnsi="Times New Roman" w:cs="Times New Roman"/>
          <w:lang w:val="mk-MK"/>
        </w:rPr>
      </w:pPr>
      <w:r>
        <w:rPr>
          <w:rFonts w:ascii="Times New Roman" w:hAnsi="Times New Roman" w:cs="Times New Roman"/>
          <w:i/>
          <w:color w:val="auto"/>
          <w:lang w:val="mk-MK"/>
        </w:rPr>
        <w:t>(С3 × З2)</w:t>
      </w:r>
    </w:p>
    <w:p w14:paraId="0C20339C"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Централизираната институционална структура на МДТ (С3) треба да се искористи за </w:t>
      </w:r>
      <w:r>
        <w:rPr>
          <w:rFonts w:ascii="Times New Roman" w:hAnsi="Times New Roman" w:cs="Times New Roman"/>
          <w:color w:val="auto"/>
          <w:lang w:val="mk-MK"/>
        </w:rPr>
        <w:t xml:space="preserve">воспоставување на наменски Национален центар за сајбер-безбедност со ВИ капацитети. Ова директно ќе ја адресира заканата од ВИ-базирани сајбер-напади и дезинформации (З2), обезбедувајќи мониторинг во реално време на дигиталната инфраструктура и заштита на </w:t>
      </w:r>
      <w:r>
        <w:rPr>
          <w:rFonts w:ascii="Times New Roman" w:hAnsi="Times New Roman" w:cs="Times New Roman"/>
          <w:color w:val="auto"/>
          <w:lang w:val="mk-MK"/>
        </w:rPr>
        <w:t>изборните процеси.</w:t>
      </w:r>
    </w:p>
    <w:p w14:paraId="4A689A79" w14:textId="77777777" w:rsidR="00FE200F" w:rsidRDefault="00FE200F">
      <w:pPr>
        <w:jc w:val="both"/>
        <w:rPr>
          <w:rFonts w:ascii="Times New Roman" w:hAnsi="Times New Roman" w:cs="Times New Roman"/>
          <w:color w:val="auto"/>
          <w:lang w:val="mk-MK"/>
        </w:rPr>
      </w:pPr>
    </w:p>
    <w:p w14:paraId="29FAF3A4"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СЗ3: Стратегија за задржување на ИТ таленти</w:t>
      </w:r>
    </w:p>
    <w:p w14:paraId="1B61B2B2" w14:textId="77777777" w:rsidR="00FE200F" w:rsidRDefault="00E77CAF">
      <w:pPr>
        <w:jc w:val="both"/>
        <w:rPr>
          <w:rFonts w:ascii="Times New Roman" w:hAnsi="Times New Roman" w:cs="Times New Roman"/>
          <w:lang w:val="mk-MK"/>
        </w:rPr>
      </w:pPr>
      <w:r>
        <w:rPr>
          <w:rFonts w:ascii="Times New Roman" w:hAnsi="Times New Roman" w:cs="Times New Roman"/>
          <w:i/>
          <w:color w:val="auto"/>
          <w:lang w:val="mk-MK"/>
        </w:rPr>
        <w:t>(С1 × С6 × З1)</w:t>
      </w:r>
    </w:p>
    <w:p w14:paraId="0E112185"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Конкурентниот ИКТ сектор (С1) и активниот екосистем (С6) треба да се поддржат со конкретни мерки за задржување на таленти: даночни олеснувања за ВИ специјалисти, програма за </w:t>
      </w:r>
      <w:r>
        <w:rPr>
          <w:rFonts w:ascii="Times New Roman" w:hAnsi="Times New Roman" w:cs="Times New Roman"/>
          <w:color w:val="auto"/>
          <w:lang w:val="mk-MK"/>
        </w:rPr>
        <w:t>враќање на дијаспора и специјални визи за странски ВИ експерти (М4). Ова директно ја адресира заканата од заостанување зад регионот (З1) преку зголемување на домашниот ВИ капацитет.</w:t>
      </w:r>
    </w:p>
    <w:p w14:paraId="423FB067" w14:textId="77777777" w:rsidR="00FE200F" w:rsidRDefault="00FE200F">
      <w:pPr>
        <w:jc w:val="both"/>
        <w:rPr>
          <w:rFonts w:ascii="Times New Roman" w:hAnsi="Times New Roman" w:cs="Times New Roman"/>
          <w:color w:val="auto"/>
          <w:lang w:val="mk-MK"/>
        </w:rPr>
      </w:pPr>
    </w:p>
    <w:p w14:paraId="205F2507"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СЗ4: Програма за ВИ писменост и управување со промени</w:t>
      </w:r>
    </w:p>
    <w:p w14:paraId="7D1C4D90" w14:textId="77777777" w:rsidR="00FE200F" w:rsidRDefault="00E77CAF">
      <w:pPr>
        <w:jc w:val="both"/>
        <w:rPr>
          <w:rFonts w:ascii="Times New Roman" w:hAnsi="Times New Roman" w:cs="Times New Roman"/>
          <w:lang w:val="mk-MK"/>
        </w:rPr>
      </w:pPr>
      <w:r>
        <w:rPr>
          <w:rFonts w:ascii="Times New Roman" w:hAnsi="Times New Roman" w:cs="Times New Roman"/>
          <w:i/>
          <w:color w:val="auto"/>
          <w:lang w:val="mk-MK"/>
        </w:rPr>
        <w:t>(С2 × З7 × З4)</w:t>
      </w:r>
    </w:p>
    <w:p w14:paraId="41D88D37"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Постоечката стратешка рамка (</w:t>
      </w:r>
      <w:r>
        <w:rPr>
          <w:rFonts w:ascii="Times New Roman" w:hAnsi="Times New Roman" w:cs="Times New Roman"/>
          <w:i/>
          <w:iCs/>
          <w:color w:val="auto"/>
          <w:lang w:val="mk-MK"/>
        </w:rPr>
        <w:t>НРС</w:t>
      </w:r>
      <w:r>
        <w:rPr>
          <w:rFonts w:ascii="Times New Roman" w:hAnsi="Times New Roman" w:cs="Times New Roman"/>
          <w:color w:val="auto"/>
          <w:lang w:val="mk-MK"/>
        </w:rPr>
        <w:t>, СМАРТ/МК) (С2) треба да вклучи масовна програма за ВИ писменост насочена кон граѓани, вработени во јавна администрација и работодавачи. Ова директно ги адресира заканите од отпор кон промени (З7) и структурна невработеност</w:t>
      </w:r>
      <w:r>
        <w:rPr>
          <w:rFonts w:ascii="Times New Roman" w:hAnsi="Times New Roman" w:cs="Times New Roman"/>
          <w:color w:val="auto"/>
          <w:lang w:val="mk-MK"/>
        </w:rPr>
        <w:t xml:space="preserve"> (З4), градејќи социјална прифатливост за ВИ трансформацијата.</w:t>
      </w:r>
    </w:p>
    <w:p w14:paraId="2BAE5338" w14:textId="77777777" w:rsidR="00FE200F" w:rsidRDefault="00FE200F">
      <w:pPr>
        <w:jc w:val="both"/>
        <w:rPr>
          <w:rFonts w:ascii="Times New Roman" w:hAnsi="Times New Roman" w:cs="Times New Roman"/>
          <w:color w:val="auto"/>
          <w:lang w:val="en-GB"/>
        </w:rPr>
      </w:pPr>
    </w:p>
    <w:p w14:paraId="59BB55D2" w14:textId="77777777" w:rsidR="00FE200F" w:rsidRDefault="00FE200F">
      <w:pPr>
        <w:jc w:val="both"/>
        <w:rPr>
          <w:rFonts w:ascii="Times New Roman" w:hAnsi="Times New Roman" w:cs="Times New Roman"/>
          <w:color w:val="auto"/>
          <w:lang w:val="en-GB"/>
        </w:rPr>
      </w:pPr>
    </w:p>
    <w:p w14:paraId="02D84843" w14:textId="77777777" w:rsidR="00FE200F" w:rsidRDefault="00FE200F">
      <w:pPr>
        <w:jc w:val="both"/>
        <w:rPr>
          <w:rFonts w:ascii="Times New Roman" w:hAnsi="Times New Roman" w:cs="Times New Roman"/>
          <w:color w:val="auto"/>
          <w:lang w:val="en-GB"/>
        </w:rPr>
      </w:pPr>
    </w:p>
    <w:p w14:paraId="3E58E631" w14:textId="77777777" w:rsidR="00FE200F" w:rsidRDefault="00E77CAF">
      <w:pPr>
        <w:pStyle w:val="Heading3"/>
        <w:jc w:val="both"/>
        <w:rPr>
          <w:rFonts w:ascii="Times New Roman" w:hAnsi="Times New Roman" w:cs="Times New Roman"/>
          <w:lang w:val="mk-MK"/>
        </w:rPr>
      </w:pPr>
      <w:bookmarkStart w:id="73" w:name="_Toc240630062"/>
      <w:bookmarkStart w:id="74" w:name="_Toc243908005"/>
      <w:r>
        <w:rPr>
          <w:rFonts w:ascii="Times New Roman" w:hAnsi="Times New Roman" w:cs="Times New Roman"/>
          <w:color w:val="auto"/>
          <w:lang w:val="mk-MK"/>
        </w:rPr>
        <w:t>Сл</w:t>
      </w:r>
      <w:r>
        <w:rPr>
          <w:rFonts w:ascii="Times New Roman" w:hAnsi="Times New Roman" w:cs="Times New Roman"/>
          <w:color w:val="auto"/>
        </w:rPr>
        <w:t>M</w:t>
      </w:r>
      <w:r>
        <w:rPr>
          <w:rFonts w:ascii="Times New Roman" w:hAnsi="Times New Roman" w:cs="Times New Roman"/>
          <w:color w:val="auto"/>
          <w:lang w:val="mk-MK"/>
        </w:rPr>
        <w:t xml:space="preserve"> Стратегии — Пресврт преку можности</w:t>
      </w:r>
      <w:bookmarkEnd w:id="73"/>
      <w:bookmarkEnd w:id="74"/>
    </w:p>
    <w:p w14:paraId="7383B3F3"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Сл</w:t>
      </w:r>
      <w:r>
        <w:rPr>
          <w:rFonts w:ascii="Times New Roman" w:hAnsi="Times New Roman" w:cs="Times New Roman"/>
          <w:b/>
          <w:color w:val="auto"/>
        </w:rPr>
        <w:t>M</w:t>
      </w:r>
      <w:r>
        <w:rPr>
          <w:rFonts w:ascii="Times New Roman" w:hAnsi="Times New Roman" w:cs="Times New Roman"/>
          <w:b/>
          <w:color w:val="auto"/>
          <w:lang w:val="mk-MK"/>
        </w:rPr>
        <w:t xml:space="preserve">1: Јавно-приватно партнерство за </w:t>
      </w:r>
      <w:r>
        <w:rPr>
          <w:rFonts w:ascii="Times New Roman" w:hAnsi="Times New Roman" w:cs="Times New Roman"/>
          <w:b/>
          <w:i/>
          <w:iCs/>
          <w:color w:val="auto"/>
          <w:lang w:val="mk-MK"/>
        </w:rPr>
        <w:t>HPC</w:t>
      </w:r>
      <w:r>
        <w:rPr>
          <w:rFonts w:ascii="Times New Roman" w:hAnsi="Times New Roman" w:cs="Times New Roman"/>
          <w:b/>
          <w:color w:val="auto"/>
          <w:lang w:val="mk-MK"/>
        </w:rPr>
        <w:t xml:space="preserve"> инфраструктура</w:t>
      </w:r>
    </w:p>
    <w:p w14:paraId="1E9B736E" w14:textId="77777777" w:rsidR="00FE200F" w:rsidRDefault="00E77CAF">
      <w:pPr>
        <w:jc w:val="both"/>
        <w:rPr>
          <w:rFonts w:ascii="Times New Roman" w:hAnsi="Times New Roman" w:cs="Times New Roman"/>
          <w:lang w:val="mk-MK"/>
        </w:rPr>
      </w:pPr>
      <w:r>
        <w:rPr>
          <w:rFonts w:ascii="Times New Roman" w:hAnsi="Times New Roman" w:cs="Times New Roman"/>
          <w:i/>
          <w:color w:val="auto"/>
          <w:lang w:val="mk-MK"/>
        </w:rPr>
        <w:t>(Сл5 × М2 × М1)</w:t>
      </w:r>
    </w:p>
    <w:p w14:paraId="4CA80A11"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Недостатокот на национален суперкомпјутер (Сл5) може да се надмине преку региона</w:t>
      </w:r>
      <w:r>
        <w:rPr>
          <w:rFonts w:ascii="Times New Roman" w:hAnsi="Times New Roman" w:cs="Times New Roman"/>
          <w:color w:val="auto"/>
          <w:lang w:val="mk-MK"/>
        </w:rPr>
        <w:t xml:space="preserve">лна соработка (М2) — влез во конзорциум за споделување на </w:t>
      </w:r>
      <w:r>
        <w:rPr>
          <w:rFonts w:ascii="Times New Roman" w:hAnsi="Times New Roman" w:cs="Times New Roman"/>
          <w:i/>
          <w:iCs/>
          <w:color w:val="auto"/>
          <w:lang w:val="mk-MK"/>
        </w:rPr>
        <w:t>HPC</w:t>
      </w:r>
      <w:r>
        <w:rPr>
          <w:rFonts w:ascii="Times New Roman" w:hAnsi="Times New Roman" w:cs="Times New Roman"/>
          <w:color w:val="auto"/>
          <w:lang w:val="mk-MK"/>
        </w:rPr>
        <w:t xml:space="preserve"> ресурси со Србија, Бугарија или Грција, финансиран преку </w:t>
      </w:r>
      <w:r>
        <w:rPr>
          <w:rFonts w:ascii="Times New Roman" w:hAnsi="Times New Roman" w:cs="Times New Roman"/>
          <w:i/>
          <w:iCs/>
          <w:color w:val="auto"/>
          <w:lang w:val="mk-MK"/>
        </w:rPr>
        <w:t>EuroHPC Joint Undertaking</w:t>
      </w:r>
      <w:r>
        <w:rPr>
          <w:rFonts w:ascii="Times New Roman" w:hAnsi="Times New Roman" w:cs="Times New Roman"/>
          <w:color w:val="auto"/>
          <w:lang w:val="mk-MK"/>
        </w:rPr>
        <w:t xml:space="preserve"> (М1). Паралелно, ЕУ фондовите може да финансираат изградба на суверен дата центар кој ќе ги задоволи потребите </w:t>
      </w:r>
      <w:r>
        <w:rPr>
          <w:rFonts w:ascii="Times New Roman" w:hAnsi="Times New Roman" w:cs="Times New Roman"/>
          <w:color w:val="auto"/>
          <w:lang w:val="mk-MK"/>
        </w:rPr>
        <w:t>на јавниот сектор и ќе привлече странски компании кои бараат ЕУ-усогласено складирање на податоци.</w:t>
      </w:r>
    </w:p>
    <w:p w14:paraId="65971679" w14:textId="77777777" w:rsidR="00FE200F" w:rsidRDefault="00FE200F">
      <w:pPr>
        <w:jc w:val="both"/>
        <w:rPr>
          <w:rFonts w:ascii="Times New Roman" w:hAnsi="Times New Roman" w:cs="Times New Roman"/>
          <w:color w:val="auto"/>
          <w:lang w:val="mk-MK"/>
        </w:rPr>
      </w:pPr>
    </w:p>
    <w:p w14:paraId="70461A2A"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Сл</w:t>
      </w:r>
      <w:r>
        <w:rPr>
          <w:rFonts w:ascii="Times New Roman" w:hAnsi="Times New Roman" w:cs="Times New Roman"/>
          <w:b/>
          <w:color w:val="auto"/>
        </w:rPr>
        <w:t>M</w:t>
      </w:r>
      <w:r>
        <w:rPr>
          <w:rFonts w:ascii="Times New Roman" w:hAnsi="Times New Roman" w:cs="Times New Roman"/>
          <w:b/>
          <w:color w:val="auto"/>
          <w:lang w:val="mk-MK"/>
        </w:rPr>
        <w:t>2: Реформа на јавните набавки за ВИ проекти</w:t>
      </w:r>
    </w:p>
    <w:p w14:paraId="4C66A0E9" w14:textId="77777777" w:rsidR="00FE200F" w:rsidRDefault="00E77CAF">
      <w:pPr>
        <w:jc w:val="both"/>
        <w:rPr>
          <w:rFonts w:ascii="Times New Roman" w:hAnsi="Times New Roman" w:cs="Times New Roman"/>
          <w:lang w:val="mk-MK"/>
        </w:rPr>
      </w:pPr>
      <w:r>
        <w:rPr>
          <w:rFonts w:ascii="Times New Roman" w:hAnsi="Times New Roman" w:cs="Times New Roman"/>
          <w:i/>
          <w:color w:val="auto"/>
          <w:lang w:val="mk-MK"/>
        </w:rPr>
        <w:lastRenderedPageBreak/>
        <w:t>(Сл2 × М3 × М1)</w:t>
      </w:r>
    </w:p>
    <w:p w14:paraId="1837FAD1"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Наодите од ревизорските извештаи за 48 кофинансирани проекти со елементи на ВИ, од кои до дат</w:t>
      </w:r>
      <w:r>
        <w:rPr>
          <w:rFonts w:ascii="Times New Roman" w:hAnsi="Times New Roman" w:cs="Times New Roman"/>
          <w:color w:val="auto"/>
          <w:lang w:val="mk-MK"/>
        </w:rPr>
        <w:t>умот на извештајот ниту еден не бил имплементиран во јавниот сектор, укажуваат на потреба од системска реформа на подготовката, пилотирањето и следењето на јавните ИТ проекти. Ова бара јасни критериуми за избор, проверка на подготвеноста, управување со риз</w:t>
      </w:r>
      <w:r>
        <w:rPr>
          <w:rFonts w:ascii="Times New Roman" w:hAnsi="Times New Roman" w:cs="Times New Roman"/>
          <w:color w:val="auto"/>
          <w:lang w:val="mk-MK"/>
        </w:rPr>
        <w:t>ици и оценување на исходите пред скалирање.</w:t>
      </w:r>
    </w:p>
    <w:p w14:paraId="369DD42E" w14:textId="77777777" w:rsidR="00FE200F" w:rsidRDefault="00FE200F">
      <w:pPr>
        <w:jc w:val="both"/>
        <w:rPr>
          <w:rFonts w:ascii="Times New Roman" w:hAnsi="Times New Roman" w:cs="Times New Roman"/>
          <w:color w:val="auto"/>
          <w:lang w:val="mk-MK"/>
        </w:rPr>
      </w:pPr>
    </w:p>
    <w:p w14:paraId="5FE1C1A6"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Сл</w:t>
      </w:r>
      <w:r>
        <w:rPr>
          <w:rFonts w:ascii="Times New Roman" w:hAnsi="Times New Roman" w:cs="Times New Roman"/>
          <w:b/>
          <w:color w:val="auto"/>
        </w:rPr>
        <w:t>M</w:t>
      </w:r>
      <w:r>
        <w:rPr>
          <w:rFonts w:ascii="Times New Roman" w:hAnsi="Times New Roman" w:cs="Times New Roman"/>
          <w:b/>
          <w:color w:val="auto"/>
          <w:lang w:val="mk-MK"/>
        </w:rPr>
        <w:t>3: Академско-индустриски ВИ центри за извонредност</w:t>
      </w:r>
    </w:p>
    <w:p w14:paraId="72CEEE72" w14:textId="77777777" w:rsidR="00FE200F" w:rsidRDefault="00E77CAF">
      <w:pPr>
        <w:jc w:val="both"/>
        <w:rPr>
          <w:rFonts w:ascii="Times New Roman" w:hAnsi="Times New Roman" w:cs="Times New Roman"/>
          <w:lang w:val="mk-MK"/>
        </w:rPr>
      </w:pPr>
      <w:r>
        <w:rPr>
          <w:rFonts w:ascii="Times New Roman" w:hAnsi="Times New Roman" w:cs="Times New Roman"/>
          <w:i/>
          <w:color w:val="auto"/>
          <w:lang w:val="mk-MK"/>
        </w:rPr>
        <w:t>(Сл7 × М1 × М5)</w:t>
      </w:r>
    </w:p>
    <w:p w14:paraId="079E6FE6"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Слабата соработка меѓу академијата и индустријата (Сл7) може да се надмине преку формирање на заеднички ВИ Центри за извонредност финансирани преку „Хоризонт Европа“ (М1). Секој центар би бил фокусиран на еден С3 приоритетен сектор (М5): ФИНКИ/ФЕИТ + агро-</w:t>
      </w:r>
      <w:r>
        <w:rPr>
          <w:rFonts w:ascii="Times New Roman" w:hAnsi="Times New Roman" w:cs="Times New Roman"/>
          <w:color w:val="auto"/>
          <w:lang w:val="mk-MK"/>
        </w:rPr>
        <w:t xml:space="preserve">компании за </w:t>
      </w:r>
      <w:r>
        <w:rPr>
          <w:rFonts w:ascii="Times New Roman" w:hAnsi="Times New Roman" w:cs="Times New Roman"/>
          <w:i/>
          <w:iCs/>
          <w:color w:val="auto"/>
          <w:lang w:val="mk-MK"/>
        </w:rPr>
        <w:t>AgriTech</w:t>
      </w:r>
      <w:r>
        <w:rPr>
          <w:rFonts w:ascii="Times New Roman" w:hAnsi="Times New Roman" w:cs="Times New Roman"/>
          <w:color w:val="auto"/>
          <w:lang w:val="mk-MK"/>
        </w:rPr>
        <w:t xml:space="preserve"> ВИ; УКИМ Економски факултет + </w:t>
      </w:r>
      <w:r>
        <w:rPr>
          <w:rFonts w:ascii="Times New Roman" w:hAnsi="Times New Roman" w:cs="Times New Roman"/>
          <w:i/>
          <w:iCs/>
          <w:color w:val="auto"/>
          <w:lang w:val="mk-MK"/>
        </w:rPr>
        <w:t>FinTech</w:t>
      </w:r>
      <w:r>
        <w:rPr>
          <w:rFonts w:ascii="Times New Roman" w:hAnsi="Times New Roman" w:cs="Times New Roman"/>
          <w:color w:val="auto"/>
          <w:lang w:val="mk-MK"/>
        </w:rPr>
        <w:t xml:space="preserve"> компании за финансиска ВИ</w:t>
      </w:r>
      <w:r>
        <w:rPr>
          <w:rFonts w:ascii="Times New Roman" w:hAnsi="Times New Roman" w:cs="Times New Roman"/>
          <w:color w:val="auto"/>
        </w:rPr>
        <w:t xml:space="preserve"> </w:t>
      </w:r>
      <w:r>
        <w:rPr>
          <w:rFonts w:ascii="Times New Roman" w:hAnsi="Times New Roman" w:cs="Times New Roman"/>
          <w:color w:val="auto"/>
          <w:lang w:val="mk-MK"/>
        </w:rPr>
        <w:t>и останати високообразовни институции. Ова директно ги комерцијализира академските истражувања. Технолошки парк? Во Србија веќе има 4.</w:t>
      </w:r>
    </w:p>
    <w:p w14:paraId="64376DFE" w14:textId="77777777" w:rsidR="00FE200F" w:rsidRDefault="00FE200F">
      <w:pPr>
        <w:jc w:val="both"/>
        <w:rPr>
          <w:rFonts w:ascii="Times New Roman" w:hAnsi="Times New Roman" w:cs="Times New Roman"/>
          <w:color w:val="auto"/>
          <w:lang w:val="mk-MK"/>
        </w:rPr>
      </w:pPr>
    </w:p>
    <w:p w14:paraId="3D83A641"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Сл</w:t>
      </w:r>
      <w:r>
        <w:rPr>
          <w:rFonts w:ascii="Times New Roman" w:hAnsi="Times New Roman" w:cs="Times New Roman"/>
          <w:b/>
          <w:color w:val="auto"/>
        </w:rPr>
        <w:t>M</w:t>
      </w:r>
      <w:r>
        <w:rPr>
          <w:rFonts w:ascii="Times New Roman" w:hAnsi="Times New Roman" w:cs="Times New Roman"/>
          <w:b/>
          <w:color w:val="auto"/>
          <w:lang w:val="mk-MK"/>
        </w:rPr>
        <w:t xml:space="preserve">4: Отворени државни податоци за </w:t>
      </w:r>
      <w:r>
        <w:rPr>
          <w:rFonts w:ascii="Times New Roman" w:hAnsi="Times New Roman" w:cs="Times New Roman"/>
          <w:b/>
          <w:color w:val="auto"/>
          <w:lang w:val="mk-MK"/>
        </w:rPr>
        <w:t>ВИ тренирање</w:t>
      </w:r>
    </w:p>
    <w:p w14:paraId="7E8DE48D" w14:textId="77777777" w:rsidR="00FE200F" w:rsidRDefault="00E77CAF">
      <w:pPr>
        <w:jc w:val="both"/>
        <w:rPr>
          <w:rFonts w:ascii="Times New Roman" w:hAnsi="Times New Roman" w:cs="Times New Roman"/>
          <w:lang w:val="mk-MK"/>
        </w:rPr>
      </w:pPr>
      <w:r>
        <w:rPr>
          <w:rFonts w:ascii="Times New Roman" w:hAnsi="Times New Roman" w:cs="Times New Roman"/>
          <w:i/>
          <w:color w:val="auto"/>
          <w:lang w:val="mk-MK"/>
        </w:rPr>
        <w:t>(Сл6 × М3 × М8)</w:t>
      </w:r>
    </w:p>
    <w:p w14:paraId="2485E65E"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Проблемот со „силосите“ на податоци (Сл6) треба да се реши преку задолжителна политика за отворени државни податоци, усогласена со ЕУ </w:t>
      </w:r>
      <w:r>
        <w:rPr>
          <w:rFonts w:ascii="Times New Roman" w:hAnsi="Times New Roman" w:cs="Times New Roman"/>
          <w:i/>
          <w:iCs/>
          <w:color w:val="auto"/>
          <w:lang w:val="mk-MK"/>
        </w:rPr>
        <w:t>Data Governance Act</w:t>
      </w:r>
      <w:r>
        <w:rPr>
          <w:rFonts w:ascii="Times New Roman" w:hAnsi="Times New Roman" w:cs="Times New Roman"/>
          <w:color w:val="auto"/>
          <w:lang w:val="mk-MK"/>
        </w:rPr>
        <w:t>. Квалитетните, машински читливи државни податоци ќе овозможат тренирање н</w:t>
      </w:r>
      <w:r>
        <w:rPr>
          <w:rFonts w:ascii="Times New Roman" w:hAnsi="Times New Roman" w:cs="Times New Roman"/>
          <w:color w:val="auto"/>
          <w:lang w:val="mk-MK"/>
        </w:rPr>
        <w:t>а ВИ модели за јавни услуги (М3) и здравство (М8), создавајќи вредност без дополнителни трошоци за прибирање на податоци.</w:t>
      </w:r>
    </w:p>
    <w:p w14:paraId="3FE36244" w14:textId="77777777" w:rsidR="00FE200F" w:rsidRDefault="00FE200F">
      <w:pPr>
        <w:pStyle w:val="Heading3"/>
        <w:jc w:val="both"/>
        <w:rPr>
          <w:rFonts w:ascii="Times New Roman" w:hAnsi="Times New Roman" w:cs="Times New Roman"/>
          <w:color w:val="auto"/>
          <w:lang w:val="en-GB"/>
        </w:rPr>
      </w:pPr>
    </w:p>
    <w:p w14:paraId="113D9470" w14:textId="77777777" w:rsidR="00FE200F" w:rsidRDefault="00E77CAF">
      <w:pPr>
        <w:pStyle w:val="Heading3"/>
        <w:jc w:val="both"/>
        <w:rPr>
          <w:rFonts w:ascii="Times New Roman" w:hAnsi="Times New Roman" w:cs="Times New Roman"/>
          <w:lang w:val="mk-MK"/>
        </w:rPr>
      </w:pPr>
      <w:bookmarkStart w:id="75" w:name="_Toc240630063"/>
      <w:bookmarkStart w:id="76" w:name="_Toc243908006"/>
      <w:r>
        <w:rPr>
          <w:rFonts w:ascii="Times New Roman" w:hAnsi="Times New Roman" w:cs="Times New Roman"/>
          <w:color w:val="auto"/>
          <w:lang w:val="mk-MK"/>
        </w:rPr>
        <w:t>СлЗ Стратегии — Одбрана и консолидација</w:t>
      </w:r>
      <w:bookmarkEnd w:id="75"/>
      <w:bookmarkEnd w:id="76"/>
    </w:p>
    <w:p w14:paraId="027435FA"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СлЗ1: Меѓупартиски консензус за ВИ стратегија</w:t>
      </w:r>
    </w:p>
    <w:p w14:paraId="3F476E85" w14:textId="77777777" w:rsidR="00FE200F" w:rsidRDefault="00E77CAF">
      <w:pPr>
        <w:jc w:val="both"/>
        <w:rPr>
          <w:rFonts w:ascii="Times New Roman" w:hAnsi="Times New Roman" w:cs="Times New Roman"/>
          <w:lang w:val="mk-MK"/>
        </w:rPr>
      </w:pPr>
      <w:r>
        <w:rPr>
          <w:rFonts w:ascii="Times New Roman" w:hAnsi="Times New Roman" w:cs="Times New Roman"/>
          <w:i/>
          <w:color w:val="auto"/>
          <w:lang w:val="mk-MK"/>
        </w:rPr>
        <w:t>(Сл2 × З8)</w:t>
      </w:r>
    </w:p>
    <w:p w14:paraId="3267AEB9"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Историјата на неуспешни ВИ проекти </w:t>
      </w:r>
      <w:r>
        <w:rPr>
          <w:rFonts w:ascii="Times New Roman" w:hAnsi="Times New Roman" w:cs="Times New Roman"/>
          <w:color w:val="auto"/>
          <w:lang w:val="mk-MK"/>
        </w:rPr>
        <w:t>(Сл2) комбинирана со заканата од политички дисконтинуитет (З8) бара институционален одговор: формирање на меѓупартиска Парламентарна комисија за ВИ и дигитализација, со мандат кој ги надминува изборните циклуси. Ова ќе обезбеди дека Стратегијата за употреб</w:t>
      </w:r>
      <w:r>
        <w:rPr>
          <w:rFonts w:ascii="Times New Roman" w:hAnsi="Times New Roman" w:cs="Times New Roman"/>
          <w:color w:val="auto"/>
          <w:lang w:val="mk-MK"/>
        </w:rPr>
        <w:t>а на ВИ е државна, а не владина политика — слично на моделот на Националната развојна стратегија 2024–2044.</w:t>
      </w:r>
    </w:p>
    <w:p w14:paraId="4EA6C7D9" w14:textId="77777777" w:rsidR="00FE200F" w:rsidRDefault="00FE200F">
      <w:pPr>
        <w:jc w:val="both"/>
        <w:rPr>
          <w:rFonts w:ascii="Times New Roman" w:hAnsi="Times New Roman" w:cs="Times New Roman"/>
          <w:color w:val="auto"/>
          <w:lang w:val="mk-MK"/>
        </w:rPr>
      </w:pPr>
    </w:p>
    <w:p w14:paraId="6F4DA519"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СлЗ2: Регулаторна средина за тестирање за ВИ иновации</w:t>
      </w:r>
    </w:p>
    <w:p w14:paraId="10C3A50C" w14:textId="77777777" w:rsidR="00FE200F" w:rsidRDefault="00E77CAF">
      <w:pPr>
        <w:jc w:val="both"/>
        <w:rPr>
          <w:rFonts w:ascii="Times New Roman" w:hAnsi="Times New Roman" w:cs="Times New Roman"/>
          <w:lang w:val="mk-MK"/>
        </w:rPr>
      </w:pPr>
      <w:r>
        <w:rPr>
          <w:rFonts w:ascii="Times New Roman" w:hAnsi="Times New Roman" w:cs="Times New Roman"/>
          <w:i/>
          <w:color w:val="auto"/>
          <w:lang w:val="mk-MK"/>
        </w:rPr>
        <w:t>(Сл1 × Сл8 × З5)</w:t>
      </w:r>
    </w:p>
    <w:p w14:paraId="3C9F85AA"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Регулаторниот вакуум (Сл1) и недостатокот на </w:t>
      </w:r>
      <w:r>
        <w:rPr>
          <w:rFonts w:ascii="Times New Roman" w:hAnsi="Times New Roman" w:cs="Times New Roman"/>
          <w:i/>
          <w:iCs/>
          <w:color w:val="auto"/>
          <w:lang w:val="mk-MK"/>
        </w:rPr>
        <w:t>VC</w:t>
      </w:r>
      <w:r>
        <w:rPr>
          <w:rFonts w:ascii="Times New Roman" w:hAnsi="Times New Roman" w:cs="Times New Roman"/>
          <w:color w:val="auto"/>
          <w:lang w:val="mk-MK"/>
        </w:rPr>
        <w:t xml:space="preserve"> капитал (Сл8) создаваат усло</w:t>
      </w:r>
      <w:r>
        <w:rPr>
          <w:rFonts w:ascii="Times New Roman" w:hAnsi="Times New Roman" w:cs="Times New Roman"/>
          <w:color w:val="auto"/>
          <w:lang w:val="mk-MK"/>
        </w:rPr>
        <w:t xml:space="preserve">ви за преголема зависност од </w:t>
      </w:r>
      <w:r>
        <w:rPr>
          <w:rFonts w:ascii="Times New Roman" w:hAnsi="Times New Roman" w:cs="Times New Roman"/>
          <w:i/>
          <w:iCs/>
          <w:color w:val="auto"/>
          <w:lang w:val="mk-MK"/>
        </w:rPr>
        <w:t>Big Tech</w:t>
      </w:r>
      <w:r>
        <w:rPr>
          <w:rFonts w:ascii="Times New Roman" w:hAnsi="Times New Roman" w:cs="Times New Roman"/>
          <w:color w:val="auto"/>
          <w:lang w:val="mk-MK"/>
        </w:rPr>
        <w:t xml:space="preserve"> (З5). Воспоставувањето на Регулаторна средина за тестирање за ВИ — контролирана средина каде стартапи можат да тестираат ВИ решенија </w:t>
      </w:r>
      <w:r>
        <w:rPr>
          <w:rFonts w:ascii="Times New Roman" w:hAnsi="Times New Roman" w:cs="Times New Roman"/>
          <w:color w:val="auto"/>
          <w:lang w:val="mk-MK"/>
        </w:rPr>
        <w:lastRenderedPageBreak/>
        <w:t>под надзор на регулаторите — ќе привлече домашен и странски капитал, ќе ги намали рег</w:t>
      </w:r>
      <w:r>
        <w:rPr>
          <w:rFonts w:ascii="Times New Roman" w:hAnsi="Times New Roman" w:cs="Times New Roman"/>
          <w:color w:val="auto"/>
          <w:lang w:val="mk-MK"/>
        </w:rPr>
        <w:t>улаторните бариери за иновации и ќе создаде домашна алтернатива на глобалните платформи.</w:t>
      </w:r>
    </w:p>
    <w:p w14:paraId="4ED7AF76" w14:textId="77777777" w:rsidR="00FE200F" w:rsidRDefault="00FE200F">
      <w:pPr>
        <w:jc w:val="both"/>
        <w:rPr>
          <w:rFonts w:ascii="Times New Roman" w:hAnsi="Times New Roman" w:cs="Times New Roman"/>
          <w:color w:val="auto"/>
          <w:lang w:val="mk-MK"/>
        </w:rPr>
      </w:pPr>
    </w:p>
    <w:p w14:paraId="43732080"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СлЗ3: Програма за дигитална инклузија и преквалификација</w:t>
      </w:r>
    </w:p>
    <w:p w14:paraId="32B2B826" w14:textId="77777777" w:rsidR="00FE200F" w:rsidRDefault="00E77CAF">
      <w:pPr>
        <w:jc w:val="both"/>
        <w:rPr>
          <w:rFonts w:ascii="Times New Roman" w:hAnsi="Times New Roman" w:cs="Times New Roman"/>
          <w:lang w:val="mk-MK"/>
        </w:rPr>
      </w:pPr>
      <w:r>
        <w:rPr>
          <w:rFonts w:ascii="Times New Roman" w:hAnsi="Times New Roman" w:cs="Times New Roman"/>
          <w:i/>
          <w:color w:val="auto"/>
          <w:lang w:val="mk-MK"/>
        </w:rPr>
        <w:t>(Сл4 × З4 × З7)</w:t>
      </w:r>
    </w:p>
    <w:p w14:paraId="0D4F67FE"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Ниската дигитална писменост (Сл4) во комбинација со заканата од структурна невработеност (З4)</w:t>
      </w:r>
      <w:r>
        <w:rPr>
          <w:rFonts w:ascii="Times New Roman" w:hAnsi="Times New Roman" w:cs="Times New Roman"/>
          <w:color w:val="auto"/>
          <w:lang w:val="mk-MK"/>
        </w:rPr>
        <w:t xml:space="preserve"> и отпорот кон промени (З7) бара масовна национална програма за дигитална инклузија. Програмата треба да вклучи: бесплатни онлајн курсеви за ВИ основи за сите граѓани, специјализирани програми за преквалификација на работници во ризични сектори и задолжите</w:t>
      </w:r>
      <w:r>
        <w:rPr>
          <w:rFonts w:ascii="Times New Roman" w:hAnsi="Times New Roman" w:cs="Times New Roman"/>
          <w:color w:val="auto"/>
          <w:lang w:val="mk-MK"/>
        </w:rPr>
        <w:t>лна ВИ писменост во образовниот систем.</w:t>
      </w:r>
    </w:p>
    <w:p w14:paraId="3A553B1D" w14:textId="77777777" w:rsidR="00FE200F" w:rsidRDefault="00FE200F">
      <w:pPr>
        <w:jc w:val="both"/>
        <w:rPr>
          <w:rFonts w:ascii="Times New Roman" w:hAnsi="Times New Roman" w:cs="Times New Roman"/>
          <w:color w:val="auto"/>
        </w:rPr>
      </w:pPr>
    </w:p>
    <w:p w14:paraId="72C99815" w14:textId="77777777" w:rsidR="00FE200F" w:rsidRDefault="00FE200F">
      <w:pPr>
        <w:jc w:val="both"/>
        <w:rPr>
          <w:rFonts w:ascii="Times New Roman" w:hAnsi="Times New Roman" w:cs="Times New Roman"/>
          <w:color w:val="auto"/>
        </w:rPr>
      </w:pPr>
    </w:p>
    <w:p w14:paraId="3ADC4195" w14:textId="77777777" w:rsidR="00FE200F" w:rsidRDefault="00E77CAF">
      <w:pPr>
        <w:pStyle w:val="Heading3"/>
        <w:jc w:val="both"/>
        <w:rPr>
          <w:rFonts w:ascii="Times New Roman" w:hAnsi="Times New Roman" w:cs="Times New Roman"/>
          <w:lang w:val="mk-MK"/>
        </w:rPr>
      </w:pPr>
      <w:bookmarkStart w:id="77" w:name="_Toc240630064"/>
      <w:bookmarkStart w:id="78" w:name="_Toc243908007"/>
      <w:r>
        <w:rPr>
          <w:rFonts w:ascii="Times New Roman" w:hAnsi="Times New Roman" w:cs="Times New Roman"/>
          <w:color w:val="auto"/>
          <w:lang w:val="mk-MK"/>
        </w:rPr>
        <w:t>Приоритизација на стратегиите</w:t>
      </w:r>
      <w:bookmarkEnd w:id="77"/>
      <w:bookmarkEnd w:id="78"/>
    </w:p>
    <w:tbl>
      <w:tblPr>
        <w:tblStyle w:val="GridTable5Dark-Accent5"/>
        <w:tblW w:w="9112" w:type="dxa"/>
        <w:tblInd w:w="113" w:type="dxa"/>
        <w:shd w:val="clear" w:color="auto" w:fill="DAEEF3"/>
        <w:tblLayout w:type="fixed"/>
        <w:tblLook w:val="04A0" w:firstRow="1" w:lastRow="0" w:firstColumn="1" w:lastColumn="0" w:noHBand="0" w:noVBand="1"/>
      </w:tblPr>
      <w:tblGrid>
        <w:gridCol w:w="2350"/>
        <w:gridCol w:w="2248"/>
        <w:gridCol w:w="2257"/>
        <w:gridCol w:w="2257"/>
      </w:tblGrid>
      <w:tr w:rsidR="00FE200F" w14:paraId="6D74B777" w14:textId="77777777" w:rsidTr="00FE20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9" w:type="dxa"/>
          </w:tcPr>
          <w:p w14:paraId="2ECCD6CF"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Стратегија</w:t>
            </w:r>
          </w:p>
        </w:tc>
        <w:tc>
          <w:tcPr>
            <w:tcW w:w="2248" w:type="dxa"/>
            <w:tcBorders>
              <w:bottom w:val="nil"/>
            </w:tcBorders>
          </w:tcPr>
          <w:p w14:paraId="03598956" w14:textId="77777777" w:rsidR="00FE200F" w:rsidRDefault="00E77CA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Тип</w:t>
            </w:r>
          </w:p>
        </w:tc>
        <w:tc>
          <w:tcPr>
            <w:tcW w:w="2257" w:type="dxa"/>
            <w:tcBorders>
              <w:bottom w:val="nil"/>
            </w:tcBorders>
          </w:tcPr>
          <w:p w14:paraId="1CF65C52" w14:textId="77777777" w:rsidR="00FE200F" w:rsidRDefault="00E77CA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Временска рамка</w:t>
            </w:r>
          </w:p>
        </w:tc>
        <w:tc>
          <w:tcPr>
            <w:tcW w:w="2257" w:type="dxa"/>
            <w:tcBorders>
              <w:bottom w:val="nil"/>
            </w:tcBorders>
          </w:tcPr>
          <w:p w14:paraId="3240727B" w14:textId="77777777" w:rsidR="00FE200F" w:rsidRDefault="00E77CA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Приоритет</w:t>
            </w:r>
          </w:p>
        </w:tc>
      </w:tr>
      <w:tr w:rsidR="00FE200F" w14:paraId="6CF0E2F5"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9" w:type="dxa"/>
            <w:tcBorders>
              <w:right w:val="nil"/>
            </w:tcBorders>
          </w:tcPr>
          <w:p w14:paraId="31AF47D1"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СЗ1: Регулаторна рамка (ЕУ </w:t>
            </w:r>
            <w:r>
              <w:rPr>
                <w:rFonts w:ascii="Times New Roman" w:hAnsi="Times New Roman" w:cs="Times New Roman"/>
                <w:i/>
                <w:iCs/>
                <w:color w:val="auto"/>
                <w:lang w:val="mk-MK"/>
              </w:rPr>
              <w:t>AI Act</w:t>
            </w:r>
            <w:r>
              <w:rPr>
                <w:rFonts w:ascii="Times New Roman" w:hAnsi="Times New Roman" w:cs="Times New Roman"/>
                <w:color w:val="auto"/>
                <w:lang w:val="mk-MK"/>
              </w:rPr>
              <w:t>)</w:t>
            </w:r>
          </w:p>
        </w:tc>
        <w:tc>
          <w:tcPr>
            <w:tcW w:w="2248" w:type="dxa"/>
          </w:tcPr>
          <w:p w14:paraId="2C62F2DF"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Заштита</w:t>
            </w:r>
          </w:p>
        </w:tc>
        <w:tc>
          <w:tcPr>
            <w:tcW w:w="2257" w:type="dxa"/>
          </w:tcPr>
          <w:p w14:paraId="6B0C1599"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2025–2026</w:t>
            </w:r>
          </w:p>
        </w:tc>
        <w:tc>
          <w:tcPr>
            <w:tcW w:w="2257" w:type="dxa"/>
          </w:tcPr>
          <w:p w14:paraId="49A57E73"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Критичен</w:t>
            </w:r>
          </w:p>
        </w:tc>
      </w:tr>
      <w:tr w:rsidR="00FE200F" w14:paraId="226F5501" w14:textId="77777777" w:rsidTr="00FE200F">
        <w:tc>
          <w:tcPr>
            <w:cnfStyle w:val="001000000000" w:firstRow="0" w:lastRow="0" w:firstColumn="1" w:lastColumn="0" w:oddVBand="0" w:evenVBand="0" w:oddHBand="0" w:evenHBand="0" w:firstRowFirstColumn="0" w:firstRowLastColumn="0" w:lastRowFirstColumn="0" w:lastRowLastColumn="0"/>
            <w:tcW w:w="2349" w:type="dxa"/>
            <w:tcBorders>
              <w:right w:val="nil"/>
            </w:tcBorders>
          </w:tcPr>
          <w:p w14:paraId="703FC165"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СлО2: Реформа на јавни набавки за ВИ</w:t>
            </w:r>
          </w:p>
        </w:tc>
        <w:tc>
          <w:tcPr>
            <w:tcW w:w="2248" w:type="dxa"/>
          </w:tcPr>
          <w:p w14:paraId="58EB2B36"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Пресврт</w:t>
            </w:r>
          </w:p>
        </w:tc>
        <w:tc>
          <w:tcPr>
            <w:tcW w:w="2257" w:type="dxa"/>
          </w:tcPr>
          <w:p w14:paraId="50E5A9A2"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2025–2026</w:t>
            </w:r>
          </w:p>
        </w:tc>
        <w:tc>
          <w:tcPr>
            <w:tcW w:w="2257" w:type="dxa"/>
          </w:tcPr>
          <w:p w14:paraId="15A97EBA"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Критичен</w:t>
            </w:r>
          </w:p>
        </w:tc>
      </w:tr>
      <w:tr w:rsidR="00FE200F" w14:paraId="506C182A"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9" w:type="dxa"/>
            <w:tcBorders>
              <w:right w:val="nil"/>
            </w:tcBorders>
          </w:tcPr>
          <w:p w14:paraId="241CBA04"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СлО4: Отворени</w:t>
            </w:r>
            <w:r>
              <w:rPr>
                <w:rFonts w:ascii="Times New Roman" w:hAnsi="Times New Roman" w:cs="Times New Roman"/>
                <w:color w:val="auto"/>
                <w:lang w:val="mk-MK"/>
              </w:rPr>
              <w:t xml:space="preserve"> државни податоци</w:t>
            </w:r>
          </w:p>
        </w:tc>
        <w:tc>
          <w:tcPr>
            <w:tcW w:w="2248" w:type="dxa"/>
          </w:tcPr>
          <w:p w14:paraId="7D18FD32"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Пресврт</w:t>
            </w:r>
          </w:p>
        </w:tc>
        <w:tc>
          <w:tcPr>
            <w:tcW w:w="2257" w:type="dxa"/>
          </w:tcPr>
          <w:p w14:paraId="42B66DE3"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2025–2027</w:t>
            </w:r>
          </w:p>
        </w:tc>
        <w:tc>
          <w:tcPr>
            <w:tcW w:w="2257" w:type="dxa"/>
          </w:tcPr>
          <w:p w14:paraId="6BA26791"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Висок</w:t>
            </w:r>
          </w:p>
        </w:tc>
      </w:tr>
      <w:tr w:rsidR="00FE200F" w14:paraId="5C206E6D" w14:textId="77777777" w:rsidTr="00FE200F">
        <w:tc>
          <w:tcPr>
            <w:cnfStyle w:val="001000000000" w:firstRow="0" w:lastRow="0" w:firstColumn="1" w:lastColumn="0" w:oddVBand="0" w:evenVBand="0" w:oddHBand="0" w:evenHBand="0" w:firstRowFirstColumn="0" w:firstRowLastColumn="0" w:lastRowFirstColumn="0" w:lastRowLastColumn="0"/>
            <w:tcW w:w="2349" w:type="dxa"/>
            <w:tcBorders>
              <w:right w:val="nil"/>
            </w:tcBorders>
          </w:tcPr>
          <w:p w14:paraId="5DE7F213"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СлЗ1: Меѓупартиски консензус</w:t>
            </w:r>
          </w:p>
        </w:tc>
        <w:tc>
          <w:tcPr>
            <w:tcW w:w="2248" w:type="dxa"/>
          </w:tcPr>
          <w:p w14:paraId="263EB58B"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Одбрана</w:t>
            </w:r>
          </w:p>
        </w:tc>
        <w:tc>
          <w:tcPr>
            <w:tcW w:w="2257" w:type="dxa"/>
          </w:tcPr>
          <w:p w14:paraId="4EC76BE3"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2025</w:t>
            </w:r>
          </w:p>
        </w:tc>
        <w:tc>
          <w:tcPr>
            <w:tcW w:w="2257" w:type="dxa"/>
          </w:tcPr>
          <w:p w14:paraId="5382CDDD"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Критичен</w:t>
            </w:r>
          </w:p>
        </w:tc>
      </w:tr>
      <w:tr w:rsidR="00FE200F" w14:paraId="4FD6C6FF"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9" w:type="dxa"/>
            <w:tcBorders>
              <w:right w:val="nil"/>
            </w:tcBorders>
          </w:tcPr>
          <w:p w14:paraId="63392EF3"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СО2: Технолошки парк со ВИ Акцелератор (С3 сектори)</w:t>
            </w:r>
          </w:p>
        </w:tc>
        <w:tc>
          <w:tcPr>
            <w:tcW w:w="2248" w:type="dxa"/>
          </w:tcPr>
          <w:p w14:paraId="23CB1AF0"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Раст</w:t>
            </w:r>
          </w:p>
        </w:tc>
        <w:tc>
          <w:tcPr>
            <w:tcW w:w="2257" w:type="dxa"/>
          </w:tcPr>
          <w:p w14:paraId="41D529ED"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2026–2029</w:t>
            </w:r>
          </w:p>
        </w:tc>
        <w:tc>
          <w:tcPr>
            <w:tcW w:w="2257" w:type="dxa"/>
          </w:tcPr>
          <w:p w14:paraId="29B6408A"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Среден</w:t>
            </w:r>
          </w:p>
        </w:tc>
      </w:tr>
      <w:tr w:rsidR="00FE200F" w14:paraId="791A8CBD" w14:textId="77777777" w:rsidTr="00FE200F">
        <w:tc>
          <w:tcPr>
            <w:cnfStyle w:val="001000000000" w:firstRow="0" w:lastRow="0" w:firstColumn="1" w:lastColumn="0" w:oddVBand="0" w:evenVBand="0" w:oddHBand="0" w:evenHBand="0" w:firstRowFirstColumn="0" w:firstRowLastColumn="0" w:lastRowFirstColumn="0" w:lastRowLastColumn="0"/>
            <w:tcW w:w="2349" w:type="dxa"/>
            <w:tcBorders>
              <w:right w:val="nil"/>
            </w:tcBorders>
          </w:tcPr>
          <w:p w14:paraId="7D9D0ECF"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СЗ2: Центар за сајбер-безбедност</w:t>
            </w:r>
          </w:p>
        </w:tc>
        <w:tc>
          <w:tcPr>
            <w:tcW w:w="2248" w:type="dxa"/>
          </w:tcPr>
          <w:p w14:paraId="0D4E03CD"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Заштита</w:t>
            </w:r>
          </w:p>
        </w:tc>
        <w:tc>
          <w:tcPr>
            <w:tcW w:w="2257" w:type="dxa"/>
          </w:tcPr>
          <w:p w14:paraId="04F498D5"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2026–2028</w:t>
            </w:r>
          </w:p>
        </w:tc>
        <w:tc>
          <w:tcPr>
            <w:tcW w:w="2257" w:type="dxa"/>
          </w:tcPr>
          <w:p w14:paraId="3697D030"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Висок</w:t>
            </w:r>
          </w:p>
        </w:tc>
      </w:tr>
      <w:tr w:rsidR="00FE200F" w14:paraId="38C925E3"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9" w:type="dxa"/>
            <w:tcBorders>
              <w:right w:val="nil"/>
            </w:tcBorders>
          </w:tcPr>
          <w:p w14:paraId="0A961D8F"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СлО1: </w:t>
            </w:r>
            <w:r>
              <w:rPr>
                <w:rFonts w:ascii="Times New Roman" w:hAnsi="Times New Roman" w:cs="Times New Roman"/>
                <w:i/>
                <w:iCs/>
                <w:color w:val="auto"/>
                <w:lang w:val="mk-MK"/>
              </w:rPr>
              <w:t>HPC</w:t>
            </w:r>
            <w:r>
              <w:rPr>
                <w:rFonts w:ascii="Times New Roman" w:hAnsi="Times New Roman" w:cs="Times New Roman"/>
                <w:color w:val="auto"/>
                <w:lang w:val="mk-MK"/>
              </w:rPr>
              <w:t xml:space="preserve"> инфраструктура (регионална)</w:t>
            </w:r>
          </w:p>
        </w:tc>
        <w:tc>
          <w:tcPr>
            <w:tcW w:w="2248" w:type="dxa"/>
          </w:tcPr>
          <w:p w14:paraId="3BF8A3D5"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Пресврт</w:t>
            </w:r>
          </w:p>
        </w:tc>
        <w:tc>
          <w:tcPr>
            <w:tcW w:w="2257" w:type="dxa"/>
          </w:tcPr>
          <w:p w14:paraId="4CB1F4A6"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2026–2030</w:t>
            </w:r>
          </w:p>
        </w:tc>
        <w:tc>
          <w:tcPr>
            <w:tcW w:w="2257" w:type="dxa"/>
          </w:tcPr>
          <w:p w14:paraId="62036F13"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Среден</w:t>
            </w:r>
          </w:p>
        </w:tc>
      </w:tr>
      <w:tr w:rsidR="00FE200F" w14:paraId="082FECC5" w14:textId="77777777" w:rsidTr="00FE200F">
        <w:tc>
          <w:tcPr>
            <w:cnfStyle w:val="001000000000" w:firstRow="0" w:lastRow="0" w:firstColumn="1" w:lastColumn="0" w:oddVBand="0" w:evenVBand="0" w:oddHBand="0" w:evenHBand="0" w:firstRowFirstColumn="0" w:firstRowLastColumn="0" w:lastRowFirstColumn="0" w:lastRowLastColumn="0"/>
            <w:tcW w:w="2349" w:type="dxa"/>
            <w:tcBorders>
              <w:right w:val="nil"/>
            </w:tcBorders>
          </w:tcPr>
          <w:p w14:paraId="17BF4438"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СлО3: Академско-индустриски центри</w:t>
            </w:r>
          </w:p>
        </w:tc>
        <w:tc>
          <w:tcPr>
            <w:tcW w:w="2248" w:type="dxa"/>
          </w:tcPr>
          <w:p w14:paraId="1FA8C826"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Пресврт</w:t>
            </w:r>
          </w:p>
        </w:tc>
        <w:tc>
          <w:tcPr>
            <w:tcW w:w="2257" w:type="dxa"/>
          </w:tcPr>
          <w:p w14:paraId="29132F4D"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2026–2029</w:t>
            </w:r>
          </w:p>
        </w:tc>
        <w:tc>
          <w:tcPr>
            <w:tcW w:w="2257" w:type="dxa"/>
          </w:tcPr>
          <w:p w14:paraId="600A5A1D"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Среден</w:t>
            </w:r>
          </w:p>
        </w:tc>
      </w:tr>
      <w:tr w:rsidR="00FE200F" w14:paraId="63662766"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9" w:type="dxa"/>
            <w:tcBorders>
              <w:right w:val="nil"/>
            </w:tcBorders>
          </w:tcPr>
          <w:p w14:paraId="319AFA10"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СО4: ВИ за зелена транзиција</w:t>
            </w:r>
          </w:p>
        </w:tc>
        <w:tc>
          <w:tcPr>
            <w:tcW w:w="2248" w:type="dxa"/>
          </w:tcPr>
          <w:p w14:paraId="21781001"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Раст</w:t>
            </w:r>
          </w:p>
        </w:tc>
        <w:tc>
          <w:tcPr>
            <w:tcW w:w="2257" w:type="dxa"/>
          </w:tcPr>
          <w:p w14:paraId="160AC830"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2027–2030</w:t>
            </w:r>
          </w:p>
        </w:tc>
        <w:tc>
          <w:tcPr>
            <w:tcW w:w="2257" w:type="dxa"/>
          </w:tcPr>
          <w:p w14:paraId="36AE9A67"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Среден</w:t>
            </w:r>
          </w:p>
        </w:tc>
      </w:tr>
      <w:tr w:rsidR="00FE200F" w14:paraId="0D8606E7" w14:textId="77777777" w:rsidTr="00FE200F">
        <w:tc>
          <w:tcPr>
            <w:cnfStyle w:val="001000000000" w:firstRow="0" w:lastRow="0" w:firstColumn="1" w:lastColumn="0" w:oddVBand="0" w:evenVBand="0" w:oddHBand="0" w:evenHBand="0" w:firstRowFirstColumn="0" w:firstRowLastColumn="0" w:lastRowFirstColumn="0" w:lastRowLastColumn="0"/>
            <w:tcW w:w="2349" w:type="dxa"/>
            <w:tcBorders>
              <w:right w:val="nil"/>
            </w:tcBorders>
          </w:tcPr>
          <w:p w14:paraId="610266EB"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lastRenderedPageBreak/>
              <w:t>СЗ3: Задржување на ИТ таленти</w:t>
            </w:r>
          </w:p>
        </w:tc>
        <w:tc>
          <w:tcPr>
            <w:tcW w:w="2248" w:type="dxa"/>
          </w:tcPr>
          <w:p w14:paraId="343330AB"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Заштита</w:t>
            </w:r>
          </w:p>
        </w:tc>
        <w:tc>
          <w:tcPr>
            <w:tcW w:w="2257" w:type="dxa"/>
          </w:tcPr>
          <w:p w14:paraId="2ADEEE28"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2025–2027</w:t>
            </w:r>
          </w:p>
        </w:tc>
        <w:tc>
          <w:tcPr>
            <w:tcW w:w="2257" w:type="dxa"/>
          </w:tcPr>
          <w:p w14:paraId="45634CCC"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Висок</w:t>
            </w:r>
          </w:p>
        </w:tc>
      </w:tr>
      <w:tr w:rsidR="00FE200F" w14:paraId="74DA1C47"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9" w:type="dxa"/>
            <w:tcBorders>
              <w:right w:val="nil"/>
            </w:tcBorders>
          </w:tcPr>
          <w:p w14:paraId="69C388C2"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СлЗ2: Регулаторен </w:t>
            </w:r>
            <w:r>
              <w:rPr>
                <w:rFonts w:ascii="Times New Roman" w:hAnsi="Times New Roman" w:cs="Times New Roman"/>
                <w:i/>
                <w:iCs/>
                <w:color w:val="auto"/>
                <w:lang w:val="mk-MK"/>
              </w:rPr>
              <w:t>sandbox</w:t>
            </w:r>
          </w:p>
        </w:tc>
        <w:tc>
          <w:tcPr>
            <w:tcW w:w="2248" w:type="dxa"/>
          </w:tcPr>
          <w:p w14:paraId="0D626733"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Одбрана</w:t>
            </w:r>
          </w:p>
        </w:tc>
        <w:tc>
          <w:tcPr>
            <w:tcW w:w="2257" w:type="dxa"/>
          </w:tcPr>
          <w:p w14:paraId="131DD883"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2026–2028</w:t>
            </w:r>
          </w:p>
        </w:tc>
        <w:tc>
          <w:tcPr>
            <w:tcW w:w="2257" w:type="dxa"/>
          </w:tcPr>
          <w:p w14:paraId="7B07C9EA"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Среден</w:t>
            </w:r>
          </w:p>
        </w:tc>
      </w:tr>
      <w:tr w:rsidR="00FE200F" w14:paraId="5C341283" w14:textId="77777777" w:rsidTr="00FE200F">
        <w:tc>
          <w:tcPr>
            <w:cnfStyle w:val="001000000000" w:firstRow="0" w:lastRow="0" w:firstColumn="1" w:lastColumn="0" w:oddVBand="0" w:evenVBand="0" w:oddHBand="0" w:evenHBand="0" w:firstRowFirstColumn="0" w:firstRowLastColumn="0" w:lastRowFirstColumn="0" w:lastRowLastColumn="0"/>
            <w:tcW w:w="2349" w:type="dxa"/>
            <w:tcBorders>
              <w:right w:val="nil"/>
            </w:tcBorders>
          </w:tcPr>
          <w:p w14:paraId="6E7BBCD0"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СЗ4: Програма за ВИ писменост</w:t>
            </w:r>
          </w:p>
        </w:tc>
        <w:tc>
          <w:tcPr>
            <w:tcW w:w="2248" w:type="dxa"/>
          </w:tcPr>
          <w:p w14:paraId="1C075C7E"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Заштита</w:t>
            </w:r>
          </w:p>
        </w:tc>
        <w:tc>
          <w:tcPr>
            <w:tcW w:w="2257" w:type="dxa"/>
          </w:tcPr>
          <w:p w14:paraId="61741B06"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2025–2030</w:t>
            </w:r>
          </w:p>
        </w:tc>
        <w:tc>
          <w:tcPr>
            <w:tcW w:w="2257" w:type="dxa"/>
          </w:tcPr>
          <w:p w14:paraId="3E3D996F"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Висок</w:t>
            </w:r>
          </w:p>
        </w:tc>
      </w:tr>
      <w:tr w:rsidR="00FE200F" w14:paraId="61E76534"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9" w:type="dxa"/>
            <w:tcBorders>
              <w:right w:val="nil"/>
            </w:tcBorders>
          </w:tcPr>
          <w:p w14:paraId="54B7079A"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СлЗ3: Дигитална инклузија и преквалификација</w:t>
            </w:r>
          </w:p>
        </w:tc>
        <w:tc>
          <w:tcPr>
            <w:tcW w:w="2248" w:type="dxa"/>
          </w:tcPr>
          <w:p w14:paraId="0CAB7AE3"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Одбрана</w:t>
            </w:r>
          </w:p>
        </w:tc>
        <w:tc>
          <w:tcPr>
            <w:tcW w:w="2257" w:type="dxa"/>
          </w:tcPr>
          <w:p w14:paraId="29960512"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2025–2030</w:t>
            </w:r>
          </w:p>
        </w:tc>
        <w:tc>
          <w:tcPr>
            <w:tcW w:w="2257" w:type="dxa"/>
          </w:tcPr>
          <w:p w14:paraId="7B4D5CA0"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Висок</w:t>
            </w:r>
          </w:p>
        </w:tc>
      </w:tr>
      <w:tr w:rsidR="00FE200F" w14:paraId="12D5752D" w14:textId="77777777" w:rsidTr="00FE200F">
        <w:tc>
          <w:tcPr>
            <w:cnfStyle w:val="001000000000" w:firstRow="0" w:lastRow="0" w:firstColumn="1" w:lastColumn="0" w:oddVBand="0" w:evenVBand="0" w:oddHBand="0" w:evenHBand="0" w:firstRowFirstColumn="0" w:firstRowLastColumn="0" w:lastRowFirstColumn="0" w:lastRowLastColumn="0"/>
            <w:tcW w:w="2349" w:type="dxa"/>
            <w:tcBorders>
              <w:right w:val="nil"/>
            </w:tcBorders>
          </w:tcPr>
          <w:p w14:paraId="05225822"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СлО2: Меѓународни консултанти (Албански модел)</w:t>
            </w:r>
          </w:p>
        </w:tc>
        <w:tc>
          <w:tcPr>
            <w:tcW w:w="2248" w:type="dxa"/>
          </w:tcPr>
          <w:p w14:paraId="119BB478"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Пресврт</w:t>
            </w:r>
          </w:p>
        </w:tc>
        <w:tc>
          <w:tcPr>
            <w:tcW w:w="2257" w:type="dxa"/>
          </w:tcPr>
          <w:p w14:paraId="1D672834"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2025–2026</w:t>
            </w:r>
          </w:p>
        </w:tc>
        <w:tc>
          <w:tcPr>
            <w:tcW w:w="2257" w:type="dxa"/>
          </w:tcPr>
          <w:p w14:paraId="197E06BE"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Висок</w:t>
            </w:r>
          </w:p>
        </w:tc>
      </w:tr>
    </w:tbl>
    <w:p w14:paraId="21FD0422" w14:textId="77777777" w:rsidR="00FE200F" w:rsidRDefault="00FE200F">
      <w:pPr>
        <w:rPr>
          <w:rFonts w:ascii="Times New Roman" w:hAnsi="Times New Roman" w:cs="Times New Roman"/>
          <w:color w:val="auto"/>
          <w:sz w:val="20"/>
          <w:szCs w:val="20"/>
          <w:lang w:val="mk-MK"/>
        </w:rPr>
      </w:pPr>
    </w:p>
    <w:p w14:paraId="02945C74" w14:textId="77777777" w:rsidR="00FE200F" w:rsidRDefault="00FE200F">
      <w:pPr>
        <w:rPr>
          <w:rFonts w:ascii="Times New Roman" w:hAnsi="Times New Roman" w:cs="Times New Roman"/>
          <w:color w:val="auto"/>
          <w:sz w:val="20"/>
          <w:szCs w:val="20"/>
          <w:lang w:val="mk-MK"/>
        </w:rPr>
      </w:pPr>
    </w:p>
    <w:p w14:paraId="10AB884A" w14:textId="77777777" w:rsidR="00FE200F" w:rsidRDefault="00FE200F">
      <w:pPr>
        <w:rPr>
          <w:rFonts w:ascii="Times New Roman" w:hAnsi="Times New Roman" w:cs="Times New Roman"/>
          <w:color w:val="auto"/>
          <w:sz w:val="20"/>
          <w:szCs w:val="20"/>
          <w:lang w:val="mk-MK"/>
        </w:rPr>
      </w:pPr>
    </w:p>
    <w:p w14:paraId="1F983091" w14:textId="77777777" w:rsidR="00FE200F" w:rsidRDefault="00E77CAF">
      <w:pPr>
        <w:pStyle w:val="Heading2"/>
        <w:jc w:val="center"/>
        <w:rPr>
          <w:rFonts w:ascii="Times New Roman" w:hAnsi="Times New Roman" w:cs="Times New Roman"/>
          <w:lang w:val="mk-MK"/>
        </w:rPr>
      </w:pPr>
      <w:bookmarkStart w:id="79" w:name="_Toc240630065"/>
      <w:bookmarkStart w:id="80" w:name="_Toc243908008"/>
      <w:r>
        <w:rPr>
          <w:rFonts w:ascii="Times New Roman" w:hAnsi="Times New Roman" w:cs="Times New Roman"/>
          <w:color w:val="auto"/>
          <w:sz w:val="24"/>
          <w:szCs w:val="24"/>
          <w:lang w:val="mk-MK"/>
        </w:rPr>
        <w:t xml:space="preserve">5. </w:t>
      </w:r>
      <w:r>
        <w:rPr>
          <w:rFonts w:ascii="Times New Roman" w:hAnsi="Times New Roman" w:cs="Times New Roman"/>
          <w:i/>
          <w:iCs/>
          <w:color w:val="auto"/>
          <w:sz w:val="24"/>
          <w:szCs w:val="24"/>
          <w:lang w:val="mk-MK"/>
        </w:rPr>
        <w:t>PESTLE</w:t>
      </w:r>
      <w:r>
        <w:rPr>
          <w:rFonts w:ascii="Times New Roman" w:hAnsi="Times New Roman" w:cs="Times New Roman"/>
          <w:color w:val="auto"/>
          <w:sz w:val="24"/>
          <w:szCs w:val="24"/>
          <w:lang w:val="mk-MK"/>
        </w:rPr>
        <w:t xml:space="preserve"> АНАЛИЗА</w:t>
      </w:r>
      <w:bookmarkEnd w:id="79"/>
      <w:bookmarkEnd w:id="80"/>
    </w:p>
    <w:p w14:paraId="2C8BDF34" w14:textId="77777777" w:rsidR="00FE200F" w:rsidRDefault="00E77CAF">
      <w:pPr>
        <w:jc w:val="both"/>
        <w:rPr>
          <w:rFonts w:ascii="Times New Roman" w:hAnsi="Times New Roman" w:cs="Times New Roman"/>
          <w:lang w:val="mk-MK"/>
        </w:rPr>
      </w:pPr>
      <w:r>
        <w:rPr>
          <w:rFonts w:ascii="Times New Roman" w:hAnsi="Times New Roman" w:cs="Times New Roman"/>
          <w:i/>
          <w:iCs/>
          <w:color w:val="auto"/>
          <w:lang w:val="mk-MK"/>
        </w:rPr>
        <w:t>PESTLE</w:t>
      </w:r>
      <w:r>
        <w:rPr>
          <w:rFonts w:ascii="Times New Roman" w:hAnsi="Times New Roman" w:cs="Times New Roman"/>
          <w:color w:val="auto"/>
          <w:lang w:val="mk-MK"/>
        </w:rPr>
        <w:t xml:space="preserve"> анализата дава макроекономски преглед на надворешните фактори кои влијаат на развојот на вештачката интелигенција во Република Северна Македонија.</w:t>
      </w:r>
    </w:p>
    <w:p w14:paraId="0CFE8E08" w14:textId="77777777" w:rsidR="00FE200F" w:rsidRDefault="00E77CAF">
      <w:pPr>
        <w:jc w:val="both"/>
        <w:rPr>
          <w:rFonts w:ascii="Times New Roman" w:hAnsi="Times New Roman" w:cs="Times New Roman"/>
          <w:color w:val="auto"/>
          <w:lang w:val="mk-MK"/>
        </w:rPr>
      </w:pPr>
      <w:r>
        <w:rPr>
          <w:rFonts w:ascii="Times New Roman" w:hAnsi="Times New Roman" w:cs="Times New Roman"/>
          <w:noProof/>
          <w:color w:val="auto"/>
        </w:rPr>
        <w:drawing>
          <wp:anchor distT="0" distB="0" distL="0" distR="0" simplePos="0" relativeHeight="4" behindDoc="0" locked="0" layoutInCell="1" allowOverlap="1" wp14:anchorId="2CF95700" wp14:editId="748B54EB">
            <wp:simplePos x="0" y="0"/>
            <wp:positionH relativeFrom="column">
              <wp:posOffset>-57785</wp:posOffset>
            </wp:positionH>
            <wp:positionV relativeFrom="paragraph">
              <wp:posOffset>-3175</wp:posOffset>
            </wp:positionV>
            <wp:extent cx="5909310" cy="4963795"/>
            <wp:effectExtent l="0" t="0" r="0" b="0"/>
            <wp:wrapNone/>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5"/>
                    <pic:cNvPicPr>
                      <a:picLocks noChangeAspect="1" noChangeArrowheads="1"/>
                    </pic:cNvPicPr>
                  </pic:nvPicPr>
                  <pic:blipFill>
                    <a:blip r:embed="rId11"/>
                    <a:srcRect r="5682" b="8148"/>
                    <a:stretch>
                      <a:fillRect/>
                    </a:stretch>
                  </pic:blipFill>
                  <pic:spPr bwMode="auto">
                    <a:xfrm>
                      <a:off x="0" y="0"/>
                      <a:ext cx="5909310" cy="4963795"/>
                    </a:xfrm>
                    <a:prstGeom prst="rect">
                      <a:avLst/>
                    </a:prstGeom>
                  </pic:spPr>
                </pic:pic>
              </a:graphicData>
            </a:graphic>
          </wp:anchor>
        </w:drawing>
      </w:r>
    </w:p>
    <w:p w14:paraId="1C9B8EF7" w14:textId="77777777" w:rsidR="00FE200F" w:rsidRDefault="00FE200F">
      <w:pPr>
        <w:jc w:val="both"/>
        <w:rPr>
          <w:rFonts w:ascii="Times New Roman" w:hAnsi="Times New Roman" w:cs="Times New Roman"/>
          <w:color w:val="auto"/>
          <w:lang w:val="mk-MK"/>
        </w:rPr>
      </w:pPr>
    </w:p>
    <w:p w14:paraId="16C86D34" w14:textId="77777777" w:rsidR="00FE200F" w:rsidRDefault="00FE200F">
      <w:pPr>
        <w:jc w:val="both"/>
        <w:rPr>
          <w:rFonts w:ascii="Times New Roman" w:hAnsi="Times New Roman" w:cs="Times New Roman"/>
          <w:color w:val="auto"/>
          <w:lang w:val="mk-MK"/>
        </w:rPr>
      </w:pPr>
    </w:p>
    <w:p w14:paraId="221224B5" w14:textId="77777777" w:rsidR="00FE200F" w:rsidRDefault="00FE200F">
      <w:pPr>
        <w:jc w:val="both"/>
        <w:rPr>
          <w:rFonts w:ascii="Times New Roman" w:hAnsi="Times New Roman" w:cs="Times New Roman"/>
          <w:color w:val="auto"/>
          <w:lang w:val="mk-MK"/>
        </w:rPr>
      </w:pPr>
    </w:p>
    <w:p w14:paraId="2D16EBCD" w14:textId="77777777" w:rsidR="00FE200F" w:rsidRDefault="00FE200F">
      <w:pPr>
        <w:jc w:val="both"/>
        <w:rPr>
          <w:rFonts w:ascii="Times New Roman" w:hAnsi="Times New Roman" w:cs="Times New Roman"/>
          <w:color w:val="auto"/>
          <w:lang w:val="mk-MK"/>
        </w:rPr>
      </w:pPr>
    </w:p>
    <w:p w14:paraId="6360EC37" w14:textId="77777777" w:rsidR="00FE200F" w:rsidRDefault="00FE200F">
      <w:pPr>
        <w:jc w:val="both"/>
        <w:rPr>
          <w:rFonts w:ascii="Times New Roman" w:hAnsi="Times New Roman" w:cs="Times New Roman"/>
          <w:color w:val="auto"/>
          <w:lang w:val="mk-MK"/>
        </w:rPr>
      </w:pPr>
    </w:p>
    <w:p w14:paraId="1852E488" w14:textId="77777777" w:rsidR="00FE200F" w:rsidRDefault="00FE200F">
      <w:pPr>
        <w:jc w:val="both"/>
        <w:rPr>
          <w:rFonts w:ascii="Times New Roman" w:hAnsi="Times New Roman" w:cs="Times New Roman"/>
          <w:color w:val="auto"/>
          <w:lang w:val="mk-MK"/>
        </w:rPr>
      </w:pPr>
    </w:p>
    <w:p w14:paraId="3F15F41F" w14:textId="77777777" w:rsidR="00FE200F" w:rsidRDefault="00FE200F">
      <w:pPr>
        <w:jc w:val="both"/>
        <w:rPr>
          <w:rFonts w:ascii="Times New Roman" w:hAnsi="Times New Roman" w:cs="Times New Roman"/>
          <w:color w:val="auto"/>
          <w:lang w:val="mk-MK"/>
        </w:rPr>
      </w:pPr>
    </w:p>
    <w:p w14:paraId="48432460" w14:textId="77777777" w:rsidR="00FE200F" w:rsidRDefault="00FE200F">
      <w:pPr>
        <w:jc w:val="both"/>
        <w:rPr>
          <w:rFonts w:ascii="Times New Roman" w:hAnsi="Times New Roman" w:cs="Times New Roman"/>
          <w:color w:val="auto"/>
          <w:lang w:val="mk-MK"/>
        </w:rPr>
      </w:pPr>
    </w:p>
    <w:p w14:paraId="52D74BEB" w14:textId="77777777" w:rsidR="00FE200F" w:rsidRDefault="00FE200F">
      <w:pPr>
        <w:jc w:val="both"/>
        <w:rPr>
          <w:rFonts w:ascii="Times New Roman" w:hAnsi="Times New Roman" w:cs="Times New Roman"/>
          <w:color w:val="auto"/>
          <w:lang w:val="mk-MK"/>
        </w:rPr>
      </w:pPr>
    </w:p>
    <w:p w14:paraId="2888566E" w14:textId="77777777" w:rsidR="00FE200F" w:rsidRDefault="00FE200F">
      <w:pPr>
        <w:jc w:val="both"/>
        <w:rPr>
          <w:rFonts w:ascii="Times New Roman" w:hAnsi="Times New Roman" w:cs="Times New Roman"/>
          <w:color w:val="auto"/>
          <w:lang w:val="mk-MK"/>
        </w:rPr>
      </w:pPr>
    </w:p>
    <w:p w14:paraId="11688E8F" w14:textId="77777777" w:rsidR="00FE200F" w:rsidRDefault="00FE200F">
      <w:pPr>
        <w:jc w:val="both"/>
        <w:rPr>
          <w:rFonts w:ascii="Times New Roman" w:hAnsi="Times New Roman" w:cs="Times New Roman"/>
          <w:color w:val="auto"/>
          <w:lang w:val="mk-MK"/>
        </w:rPr>
      </w:pPr>
    </w:p>
    <w:p w14:paraId="7331BA32" w14:textId="77777777" w:rsidR="00FE200F" w:rsidRDefault="00FE200F">
      <w:pPr>
        <w:jc w:val="both"/>
        <w:rPr>
          <w:rFonts w:ascii="Times New Roman" w:hAnsi="Times New Roman" w:cs="Times New Roman"/>
          <w:color w:val="auto"/>
          <w:lang w:val="mk-MK"/>
        </w:rPr>
      </w:pPr>
    </w:p>
    <w:p w14:paraId="55C0FD7C" w14:textId="77777777" w:rsidR="00FE200F" w:rsidRDefault="00FE200F">
      <w:pPr>
        <w:jc w:val="both"/>
        <w:rPr>
          <w:rFonts w:ascii="Times New Roman" w:hAnsi="Times New Roman" w:cs="Times New Roman"/>
          <w:color w:val="auto"/>
          <w:lang w:val="mk-MK"/>
        </w:rPr>
      </w:pPr>
    </w:p>
    <w:p w14:paraId="67C9587C" w14:textId="77777777" w:rsidR="00FE200F" w:rsidRDefault="00FE200F">
      <w:pPr>
        <w:jc w:val="both"/>
        <w:rPr>
          <w:rFonts w:ascii="Times New Roman" w:hAnsi="Times New Roman" w:cs="Times New Roman"/>
          <w:color w:val="auto"/>
          <w:lang w:val="mk-MK"/>
        </w:rPr>
      </w:pPr>
    </w:p>
    <w:p w14:paraId="3254701A" w14:textId="77777777" w:rsidR="00FE200F" w:rsidRDefault="00FE200F">
      <w:pPr>
        <w:jc w:val="both"/>
        <w:rPr>
          <w:rFonts w:ascii="Times New Roman" w:hAnsi="Times New Roman" w:cs="Times New Roman"/>
          <w:color w:val="auto"/>
          <w:lang w:val="mk-MK"/>
        </w:rPr>
      </w:pPr>
    </w:p>
    <w:p w14:paraId="6C5D743A" w14:textId="77777777" w:rsidR="00FE200F" w:rsidRDefault="00FE200F">
      <w:pPr>
        <w:jc w:val="both"/>
        <w:rPr>
          <w:rFonts w:ascii="Times New Roman" w:hAnsi="Times New Roman" w:cs="Times New Roman"/>
          <w:color w:val="auto"/>
          <w:lang w:val="mk-MK"/>
        </w:rPr>
      </w:pPr>
    </w:p>
    <w:p w14:paraId="5840CCA8" w14:textId="77777777" w:rsidR="00FE200F" w:rsidRDefault="00FE200F">
      <w:pPr>
        <w:jc w:val="both"/>
        <w:rPr>
          <w:rFonts w:ascii="Times New Roman" w:hAnsi="Times New Roman" w:cs="Times New Roman"/>
          <w:color w:val="auto"/>
          <w:lang w:val="mk-MK"/>
        </w:rPr>
      </w:pPr>
    </w:p>
    <w:p w14:paraId="48F81EF9" w14:textId="77777777" w:rsidR="00FE200F" w:rsidRDefault="00FE200F">
      <w:pPr>
        <w:jc w:val="both"/>
        <w:rPr>
          <w:rFonts w:ascii="Times New Roman" w:hAnsi="Times New Roman" w:cs="Times New Roman"/>
          <w:color w:val="auto"/>
          <w:lang w:val="mk-MK"/>
        </w:rPr>
      </w:pPr>
    </w:p>
    <w:p w14:paraId="71C91D68" w14:textId="77777777" w:rsidR="00FE200F" w:rsidRDefault="00FE200F">
      <w:pPr>
        <w:jc w:val="both"/>
        <w:rPr>
          <w:rFonts w:ascii="Times New Roman" w:hAnsi="Times New Roman" w:cs="Times New Roman"/>
          <w:color w:val="auto"/>
          <w:lang w:val="mk-MK"/>
        </w:rPr>
      </w:pPr>
    </w:p>
    <w:p w14:paraId="4B7A0EA6" w14:textId="77777777" w:rsidR="00FE200F" w:rsidRDefault="00E77CAF">
      <w:pPr>
        <w:pStyle w:val="Caption"/>
        <w:jc w:val="center"/>
        <w:rPr>
          <w:rFonts w:ascii="Times New Roman" w:hAnsi="Times New Roman" w:cs="Times New Roman"/>
          <w:lang w:val="mk-MK"/>
        </w:rPr>
      </w:pPr>
      <w:r>
        <w:rPr>
          <w:rFonts w:ascii="Times New Roman" w:hAnsi="Times New Roman" w:cs="Times New Roman"/>
          <w:color w:val="auto"/>
          <w:lang w:val="mk-MK"/>
        </w:rPr>
        <w:t>Графикон 4: PESTLE Радар – Профил на можности и ризици за ВИ екосистемот (2025)</w:t>
      </w:r>
    </w:p>
    <w:p w14:paraId="2490D77D" w14:textId="77777777" w:rsidR="00FE200F" w:rsidRDefault="00FE200F">
      <w:pPr>
        <w:rPr>
          <w:rFonts w:ascii="Times New Roman" w:hAnsi="Times New Roman" w:cs="Times New Roman"/>
          <w:color w:val="auto"/>
          <w:lang w:val="mk-MK"/>
        </w:rPr>
      </w:pPr>
    </w:p>
    <w:p w14:paraId="63A7A070" w14:textId="77777777" w:rsidR="00FE200F" w:rsidRDefault="00E77CAF">
      <w:pPr>
        <w:pStyle w:val="Heading3"/>
        <w:jc w:val="both"/>
        <w:rPr>
          <w:rFonts w:ascii="Times New Roman" w:hAnsi="Times New Roman" w:cs="Times New Roman"/>
          <w:lang w:val="mk-MK"/>
        </w:rPr>
      </w:pPr>
      <w:bookmarkStart w:id="81" w:name="_Toc240630066"/>
      <w:bookmarkStart w:id="82" w:name="_Toc243908009"/>
      <w:r>
        <w:rPr>
          <w:rFonts w:ascii="Times New Roman" w:hAnsi="Times New Roman" w:cs="Times New Roman"/>
          <w:color w:val="auto"/>
          <w:lang w:val="mk-MK"/>
        </w:rPr>
        <w:t>5.1 По</w:t>
      </w:r>
      <w:r>
        <w:rPr>
          <w:rFonts w:ascii="Times New Roman" w:hAnsi="Times New Roman" w:cs="Times New Roman"/>
          <w:color w:val="auto"/>
          <w:lang w:val="mk-MK"/>
        </w:rPr>
        <w:t>литички фактори</w:t>
      </w:r>
      <w:bookmarkEnd w:id="81"/>
      <w:bookmarkEnd w:id="82"/>
    </w:p>
    <w:p w14:paraId="30C2D436" w14:textId="77777777" w:rsidR="00FE200F" w:rsidRDefault="00E77CAF">
      <w:pPr>
        <w:pStyle w:val="Heading4"/>
        <w:jc w:val="both"/>
        <w:rPr>
          <w:rFonts w:ascii="Times New Roman" w:hAnsi="Times New Roman" w:cs="Times New Roman"/>
          <w:lang w:val="mk-MK"/>
        </w:rPr>
      </w:pPr>
      <w:r>
        <w:rPr>
          <w:rFonts w:ascii="Times New Roman" w:hAnsi="Times New Roman" w:cs="Times New Roman"/>
          <w:i w:val="0"/>
          <w:iCs w:val="0"/>
          <w:color w:val="auto"/>
          <w:lang w:val="mk-MK"/>
        </w:rPr>
        <w:t>П1: Политичка волја за дигитализација</w:t>
      </w:r>
    </w:p>
    <w:p w14:paraId="3D53E832"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Формирањето на новото Министерство за дигитална трансформација (МДТ) во 2024 година е јасен сигнал за постоење на политичка волја на највисоко ниво. Оваа институционална консолидација овозможува дигитал</w:t>
      </w:r>
      <w:r>
        <w:rPr>
          <w:rFonts w:ascii="Times New Roman" w:hAnsi="Times New Roman" w:cs="Times New Roman"/>
          <w:color w:val="auto"/>
          <w:lang w:val="mk-MK"/>
        </w:rPr>
        <w:t>изацијата и вештачката интелигенција да бидат третирани како врвен државен приоритет, а не како споредна активност на други министерства.</w:t>
      </w:r>
    </w:p>
    <w:p w14:paraId="56FF9211" w14:textId="77777777" w:rsidR="00FE200F" w:rsidRDefault="00FE200F">
      <w:pPr>
        <w:jc w:val="both"/>
        <w:rPr>
          <w:rFonts w:ascii="Times New Roman" w:hAnsi="Times New Roman" w:cs="Times New Roman"/>
          <w:color w:val="auto"/>
          <w:lang w:val="mk-MK"/>
        </w:rPr>
      </w:pPr>
    </w:p>
    <w:p w14:paraId="25937017" w14:textId="77777777" w:rsidR="00FE200F" w:rsidRDefault="00E77CAF">
      <w:pPr>
        <w:pStyle w:val="Heading4"/>
        <w:jc w:val="both"/>
        <w:rPr>
          <w:rFonts w:ascii="Times New Roman" w:hAnsi="Times New Roman" w:cs="Times New Roman"/>
          <w:lang w:val="mk-MK"/>
        </w:rPr>
      </w:pPr>
      <w:r>
        <w:rPr>
          <w:rFonts w:ascii="Times New Roman" w:hAnsi="Times New Roman" w:cs="Times New Roman"/>
          <w:i w:val="0"/>
          <w:iCs w:val="0"/>
          <w:color w:val="auto"/>
          <w:lang w:val="mk-MK"/>
        </w:rPr>
        <w:t>П2: Процес на пристапување кон ЕУ</w:t>
      </w:r>
    </w:p>
    <w:p w14:paraId="243FFAFF"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Статусот на земја кандидат за членство во ЕУ е најсилниот политички двигател за </w:t>
      </w:r>
      <w:r>
        <w:rPr>
          <w:rFonts w:ascii="Times New Roman" w:hAnsi="Times New Roman" w:cs="Times New Roman"/>
          <w:color w:val="auto"/>
          <w:lang w:val="mk-MK"/>
        </w:rPr>
        <w:t>реформи. Обврската за усогласување со европското законодавство (</w:t>
      </w:r>
      <w:r>
        <w:rPr>
          <w:rFonts w:ascii="Times New Roman" w:hAnsi="Times New Roman" w:cs="Times New Roman"/>
          <w:i/>
          <w:iCs/>
          <w:color w:val="auto"/>
          <w:lang w:val="mk-MK"/>
        </w:rPr>
        <w:t>Acquis communautaire</w:t>
      </w:r>
      <w:r>
        <w:rPr>
          <w:rFonts w:ascii="Times New Roman" w:hAnsi="Times New Roman" w:cs="Times New Roman"/>
          <w:color w:val="auto"/>
          <w:lang w:val="mk-MK"/>
        </w:rPr>
        <w:t xml:space="preserve">) наметнува строги рокови и стандарди. Ова значи дека македонската политика за ВИ мора да биде целосно компатибилна со европските вредности, што ја намалува флексибилноста </w:t>
      </w:r>
      <w:r>
        <w:rPr>
          <w:rFonts w:ascii="Times New Roman" w:hAnsi="Times New Roman" w:cs="Times New Roman"/>
          <w:color w:val="auto"/>
          <w:lang w:val="mk-MK"/>
        </w:rPr>
        <w:t>во креирањето на политиките. Македонија треба да ги искористи обврските за усогласување (</w:t>
      </w:r>
      <w:r>
        <w:rPr>
          <w:rFonts w:ascii="Times New Roman" w:hAnsi="Times New Roman" w:cs="Times New Roman"/>
          <w:i/>
          <w:iCs/>
          <w:color w:val="auto"/>
          <w:lang w:val="mk-MK"/>
        </w:rPr>
        <w:t>Acquis communautaire</w:t>
      </w:r>
      <w:r>
        <w:rPr>
          <w:rFonts w:ascii="Times New Roman" w:hAnsi="Times New Roman" w:cs="Times New Roman"/>
          <w:color w:val="auto"/>
          <w:lang w:val="mk-MK"/>
        </w:rPr>
        <w:t xml:space="preserve">) не само формално, туку и суштински, за да не ја повтори хрватската ситуација на ниска </w:t>
      </w:r>
      <w:r>
        <w:rPr>
          <w:rFonts w:ascii="Times New Roman" w:hAnsi="Times New Roman" w:cs="Times New Roman"/>
          <w:i/>
          <w:iCs/>
          <w:color w:val="auto"/>
          <w:lang w:val="mk-MK"/>
        </w:rPr>
        <w:t>Policy Capacity</w:t>
      </w:r>
      <w:r>
        <w:rPr>
          <w:rFonts w:ascii="Times New Roman" w:hAnsi="Times New Roman" w:cs="Times New Roman"/>
          <w:color w:val="auto"/>
          <w:lang w:val="mk-MK"/>
        </w:rPr>
        <w:t xml:space="preserve"> оценка (34.50) и по евентуалното членство.</w:t>
      </w:r>
    </w:p>
    <w:p w14:paraId="458CDDE8" w14:textId="77777777" w:rsidR="00FE200F" w:rsidRDefault="00FE200F">
      <w:pPr>
        <w:jc w:val="both"/>
        <w:rPr>
          <w:rFonts w:ascii="Times New Roman" w:hAnsi="Times New Roman" w:cs="Times New Roman"/>
          <w:color w:val="auto"/>
          <w:lang w:val="mk-MK"/>
        </w:rPr>
      </w:pPr>
    </w:p>
    <w:p w14:paraId="4829DBE1" w14:textId="77777777" w:rsidR="00FE200F" w:rsidRDefault="00E77CAF">
      <w:pPr>
        <w:pStyle w:val="Heading4"/>
        <w:jc w:val="both"/>
        <w:rPr>
          <w:rFonts w:ascii="Times New Roman" w:hAnsi="Times New Roman" w:cs="Times New Roman"/>
          <w:lang w:val="mk-MK"/>
        </w:rPr>
      </w:pPr>
      <w:r>
        <w:rPr>
          <w:rFonts w:ascii="Times New Roman" w:hAnsi="Times New Roman" w:cs="Times New Roman"/>
          <w:i w:val="0"/>
          <w:iCs w:val="0"/>
          <w:color w:val="auto"/>
          <w:lang w:val="mk-MK"/>
        </w:rPr>
        <w:t>П3: Ризик од политички дисконтинуитет</w:t>
      </w:r>
    </w:p>
    <w:p w14:paraId="08E53556"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И покрај декларативната поддршка, честите изборни циклуси и промени во раководните структури на институциите претставуваат сериозен политички ризик. Стратегиите за ВИ бараат долгорочно (5-10 годишно) планирање и конти</w:t>
      </w:r>
      <w:r>
        <w:rPr>
          <w:rFonts w:ascii="Times New Roman" w:hAnsi="Times New Roman" w:cs="Times New Roman"/>
          <w:color w:val="auto"/>
          <w:lang w:val="mk-MK"/>
        </w:rPr>
        <w:t>нуирано финансирање кое не смее да биде прекинато при промена на власта.</w:t>
      </w:r>
    </w:p>
    <w:p w14:paraId="5C3BDB9D" w14:textId="77777777" w:rsidR="00FE200F" w:rsidRDefault="00FE200F">
      <w:pPr>
        <w:jc w:val="both"/>
        <w:rPr>
          <w:rFonts w:ascii="Times New Roman" w:hAnsi="Times New Roman" w:cs="Times New Roman"/>
          <w:color w:val="auto"/>
          <w:lang w:val="mk-MK"/>
        </w:rPr>
      </w:pPr>
    </w:p>
    <w:p w14:paraId="7F64F8C9" w14:textId="77777777" w:rsidR="00FE200F" w:rsidRDefault="00E77CAF">
      <w:pPr>
        <w:pStyle w:val="Heading3"/>
        <w:jc w:val="both"/>
        <w:rPr>
          <w:rFonts w:ascii="Times New Roman" w:hAnsi="Times New Roman" w:cs="Times New Roman"/>
          <w:lang w:val="mk-MK"/>
        </w:rPr>
      </w:pPr>
      <w:bookmarkStart w:id="83" w:name="_Toc240630067"/>
      <w:bookmarkStart w:id="84" w:name="_Toc243908010"/>
      <w:r>
        <w:rPr>
          <w:rFonts w:ascii="Times New Roman" w:hAnsi="Times New Roman" w:cs="Times New Roman"/>
          <w:color w:val="auto"/>
          <w:lang w:val="mk-MK"/>
        </w:rPr>
        <w:t>5.2 Економски фактори</w:t>
      </w:r>
      <w:bookmarkEnd w:id="83"/>
      <w:bookmarkEnd w:id="84"/>
    </w:p>
    <w:p w14:paraId="5FA946A8" w14:textId="77777777" w:rsidR="00FE200F" w:rsidRDefault="00E77CAF">
      <w:pPr>
        <w:pStyle w:val="Heading4"/>
        <w:jc w:val="both"/>
        <w:rPr>
          <w:rFonts w:ascii="Times New Roman" w:hAnsi="Times New Roman" w:cs="Times New Roman"/>
          <w:lang w:val="mk-MK"/>
        </w:rPr>
      </w:pPr>
      <w:r>
        <w:rPr>
          <w:rFonts w:ascii="Times New Roman" w:hAnsi="Times New Roman" w:cs="Times New Roman"/>
          <w:i w:val="0"/>
          <w:iCs w:val="0"/>
          <w:color w:val="auto"/>
          <w:lang w:val="mk-MK"/>
        </w:rPr>
        <w:t>Е1: Раст на ИКТ секторот како економски столб</w:t>
      </w:r>
    </w:p>
    <w:p w14:paraId="7C087CCF"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ИКТ секторот е најсветлата точка во македонската економија, со континуиран двоцифрен раст на извозот. Овој сектор </w:t>
      </w:r>
      <w:r>
        <w:rPr>
          <w:rFonts w:ascii="Times New Roman" w:hAnsi="Times New Roman" w:cs="Times New Roman"/>
          <w:color w:val="auto"/>
          <w:lang w:val="mk-MK"/>
        </w:rPr>
        <w:t>генерира висока додадена вредност и плати кои се значително над државниот просек. Транзицијата на овој сектор од аутсорсинг (</w:t>
      </w:r>
      <w:r>
        <w:rPr>
          <w:rFonts w:ascii="Times New Roman" w:hAnsi="Times New Roman" w:cs="Times New Roman"/>
          <w:i/>
          <w:iCs/>
          <w:color w:val="auto"/>
          <w:lang w:val="mk-MK"/>
        </w:rPr>
        <w:t>outsourcing</w:t>
      </w:r>
      <w:r>
        <w:rPr>
          <w:rFonts w:ascii="Times New Roman" w:hAnsi="Times New Roman" w:cs="Times New Roman"/>
          <w:color w:val="auto"/>
          <w:lang w:val="mk-MK"/>
        </w:rPr>
        <w:t>) кон развој на сопствени ВИ продукти е клучна за економскиот раст на државата.</w:t>
      </w:r>
    </w:p>
    <w:p w14:paraId="6CA912F9" w14:textId="77777777" w:rsidR="00FE200F" w:rsidRDefault="00FE200F">
      <w:pPr>
        <w:jc w:val="both"/>
        <w:rPr>
          <w:rFonts w:ascii="Times New Roman" w:hAnsi="Times New Roman" w:cs="Times New Roman"/>
          <w:color w:val="auto"/>
          <w:lang w:val="mk-MK"/>
        </w:rPr>
      </w:pPr>
    </w:p>
    <w:p w14:paraId="2D49CB60" w14:textId="77777777" w:rsidR="00FE200F" w:rsidRDefault="00E77CAF">
      <w:pPr>
        <w:pStyle w:val="Heading4"/>
        <w:jc w:val="both"/>
        <w:rPr>
          <w:rFonts w:ascii="Times New Roman" w:hAnsi="Times New Roman" w:cs="Times New Roman"/>
          <w:lang w:val="mk-MK"/>
        </w:rPr>
      </w:pPr>
      <w:r>
        <w:rPr>
          <w:rFonts w:ascii="Times New Roman" w:hAnsi="Times New Roman" w:cs="Times New Roman"/>
          <w:i w:val="0"/>
          <w:iCs w:val="0"/>
          <w:color w:val="auto"/>
          <w:lang w:val="mk-MK"/>
        </w:rPr>
        <w:lastRenderedPageBreak/>
        <w:t>Е2: Ограничени буџетски ресурси за</w:t>
      </w:r>
      <w:r>
        <w:rPr>
          <w:rFonts w:ascii="Times New Roman" w:hAnsi="Times New Roman" w:cs="Times New Roman"/>
          <w:color w:val="auto"/>
          <w:lang w:val="mk-MK"/>
        </w:rPr>
        <w:t xml:space="preserve"> </w:t>
      </w:r>
      <w:r>
        <w:rPr>
          <w:rFonts w:ascii="Times New Roman" w:hAnsi="Times New Roman" w:cs="Times New Roman"/>
          <w:i w:val="0"/>
          <w:iCs w:val="0"/>
          <w:color w:val="auto"/>
          <w:lang w:val="mk-MK"/>
        </w:rPr>
        <w:t>истр</w:t>
      </w:r>
      <w:r>
        <w:rPr>
          <w:rFonts w:ascii="Times New Roman" w:hAnsi="Times New Roman" w:cs="Times New Roman"/>
          <w:i w:val="0"/>
          <w:iCs w:val="0"/>
          <w:color w:val="auto"/>
          <w:lang w:val="mk-MK"/>
        </w:rPr>
        <w:t>ажување и развој</w:t>
      </w:r>
    </w:p>
    <w:p w14:paraId="030BF187"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Државните издвојувања за истражување и развој (</w:t>
      </w:r>
      <w:r>
        <w:rPr>
          <w:rFonts w:ascii="Times New Roman" w:hAnsi="Times New Roman" w:cs="Times New Roman"/>
          <w:i/>
          <w:iCs/>
          <w:color w:val="auto"/>
          <w:lang w:val="mk-MK"/>
        </w:rPr>
        <w:t>R&amp;D</w:t>
      </w:r>
      <w:r>
        <w:rPr>
          <w:rFonts w:ascii="Times New Roman" w:hAnsi="Times New Roman" w:cs="Times New Roman"/>
          <w:color w:val="auto"/>
          <w:lang w:val="mk-MK"/>
        </w:rPr>
        <w:t xml:space="preserve">) се историски ниски (под 0,4% од БДП). Развојот на ВИ, особено инфраструктурата како суперкомпјутери, бара огромни капитални инвестиции кои националниот буџет тешко може да ги поднесе </w:t>
      </w:r>
      <w:r>
        <w:rPr>
          <w:rFonts w:ascii="Times New Roman" w:hAnsi="Times New Roman" w:cs="Times New Roman"/>
          <w:color w:val="auto"/>
          <w:lang w:val="mk-MK"/>
        </w:rPr>
        <w:t>самостојно. Ова ја наметнува потребата од максимално искористување на ЕУ фондовите и јавно-приватни партнерства.</w:t>
      </w:r>
    </w:p>
    <w:p w14:paraId="7C3D7EBD" w14:textId="77777777" w:rsidR="00FE200F" w:rsidRDefault="00FE200F">
      <w:pPr>
        <w:jc w:val="both"/>
        <w:rPr>
          <w:rFonts w:ascii="Times New Roman" w:hAnsi="Times New Roman" w:cs="Times New Roman"/>
          <w:color w:val="auto"/>
          <w:lang w:val="mk-MK"/>
        </w:rPr>
      </w:pPr>
    </w:p>
    <w:p w14:paraId="5E34096E" w14:textId="77777777" w:rsidR="00FE200F" w:rsidRDefault="00E77CAF">
      <w:pPr>
        <w:pStyle w:val="Heading4"/>
        <w:jc w:val="both"/>
        <w:rPr>
          <w:rFonts w:ascii="Times New Roman" w:hAnsi="Times New Roman" w:cs="Times New Roman"/>
          <w:lang w:val="mk-MK"/>
        </w:rPr>
      </w:pPr>
      <w:r>
        <w:rPr>
          <w:rFonts w:ascii="Times New Roman" w:hAnsi="Times New Roman" w:cs="Times New Roman"/>
          <w:i w:val="0"/>
          <w:iCs w:val="0"/>
          <w:color w:val="auto"/>
          <w:lang w:val="mk-MK"/>
        </w:rPr>
        <w:t>Е3: Недостаток на инвестициски фондови (</w:t>
      </w:r>
      <w:r>
        <w:rPr>
          <w:rFonts w:ascii="Times New Roman" w:hAnsi="Times New Roman" w:cs="Times New Roman"/>
          <w:color w:val="auto"/>
          <w:lang w:val="mk-MK"/>
        </w:rPr>
        <w:t xml:space="preserve">Venture Capital) </w:t>
      </w:r>
      <w:r>
        <w:rPr>
          <w:rFonts w:ascii="Times New Roman" w:hAnsi="Times New Roman" w:cs="Times New Roman"/>
          <w:i w:val="0"/>
          <w:iCs w:val="0"/>
          <w:color w:val="auto"/>
          <w:lang w:val="mk-MK"/>
        </w:rPr>
        <w:t>за скалирање</w:t>
      </w:r>
    </w:p>
    <w:p w14:paraId="0D5A999B"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Додека постојат грантови за стартапи во рана фаза (</w:t>
      </w:r>
      <w:r>
        <w:rPr>
          <w:rFonts w:ascii="Times New Roman" w:hAnsi="Times New Roman" w:cs="Times New Roman"/>
          <w:i/>
          <w:iCs/>
          <w:color w:val="auto"/>
          <w:lang w:val="mk-MK"/>
        </w:rPr>
        <w:t>seed funding</w:t>
      </w:r>
      <w:r>
        <w:rPr>
          <w:rFonts w:ascii="Times New Roman" w:hAnsi="Times New Roman" w:cs="Times New Roman"/>
          <w:color w:val="auto"/>
          <w:lang w:val="mk-MK"/>
        </w:rPr>
        <w:t>), економ</w:t>
      </w:r>
      <w:r>
        <w:rPr>
          <w:rFonts w:ascii="Times New Roman" w:hAnsi="Times New Roman" w:cs="Times New Roman"/>
          <w:color w:val="auto"/>
          <w:lang w:val="mk-MK"/>
        </w:rPr>
        <w:t>ијата страда од недостаток на инвестициски фондови подготвени да инвестираат поголеми суми во ВИ технолошки (</w:t>
      </w:r>
      <w:r>
        <w:rPr>
          <w:rFonts w:ascii="Times New Roman" w:hAnsi="Times New Roman" w:cs="Times New Roman"/>
          <w:i/>
          <w:iCs/>
          <w:color w:val="auto"/>
          <w:lang w:val="mk-MK"/>
        </w:rPr>
        <w:t>deep-tech)</w:t>
      </w:r>
      <w:r>
        <w:rPr>
          <w:rFonts w:ascii="Times New Roman" w:hAnsi="Times New Roman" w:cs="Times New Roman"/>
          <w:color w:val="auto"/>
          <w:lang w:val="mk-MK"/>
        </w:rPr>
        <w:t xml:space="preserve"> компании. Ова го ограничува растот на најуспешните македонски ВИ компании и ги принудува да бараат капитал во странство.</w:t>
      </w:r>
    </w:p>
    <w:p w14:paraId="67C37E36" w14:textId="77777777" w:rsidR="00FE200F" w:rsidRDefault="00FE200F">
      <w:pPr>
        <w:jc w:val="both"/>
        <w:rPr>
          <w:rFonts w:ascii="Times New Roman" w:hAnsi="Times New Roman" w:cs="Times New Roman"/>
          <w:color w:val="auto"/>
          <w:lang w:val="mk-MK"/>
        </w:rPr>
      </w:pPr>
    </w:p>
    <w:p w14:paraId="51CDD294" w14:textId="77777777" w:rsidR="00FE200F" w:rsidRDefault="00E77CAF">
      <w:pPr>
        <w:pStyle w:val="Heading4"/>
        <w:jc w:val="both"/>
        <w:rPr>
          <w:rFonts w:ascii="Times New Roman" w:hAnsi="Times New Roman" w:cs="Times New Roman"/>
          <w:lang w:val="mk-MK"/>
        </w:rPr>
      </w:pPr>
      <w:r>
        <w:rPr>
          <w:rFonts w:ascii="Times New Roman" w:hAnsi="Times New Roman" w:cs="Times New Roman"/>
          <w:i w:val="0"/>
          <w:iCs w:val="0"/>
          <w:color w:val="auto"/>
          <w:lang w:val="mk-MK"/>
        </w:rPr>
        <w:t>Е4: Ризик од с</w:t>
      </w:r>
      <w:r>
        <w:rPr>
          <w:rFonts w:ascii="Times New Roman" w:hAnsi="Times New Roman" w:cs="Times New Roman"/>
          <w:i w:val="0"/>
          <w:iCs w:val="0"/>
          <w:color w:val="auto"/>
          <w:lang w:val="mk-MK"/>
        </w:rPr>
        <w:t>труктурна невработеност</w:t>
      </w:r>
    </w:p>
    <w:p w14:paraId="6014665C"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Македонската економија сè уште има висок удел на трудоинтензивни индустрии и административни работни места кои се високо подложни на автоматизација преку ВИ. Без агресивни економски мерки за преквалификација на работната сила, импле</w:t>
      </w:r>
      <w:r>
        <w:rPr>
          <w:rFonts w:ascii="Times New Roman" w:hAnsi="Times New Roman" w:cs="Times New Roman"/>
          <w:color w:val="auto"/>
          <w:lang w:val="mk-MK"/>
        </w:rPr>
        <w:t>ментацијата на ВИ може да доведе до зголемување на невработеноста во многу сектори.</w:t>
      </w:r>
    </w:p>
    <w:p w14:paraId="09A7B529" w14:textId="77777777" w:rsidR="00FE200F" w:rsidRDefault="00FE200F">
      <w:pPr>
        <w:jc w:val="both"/>
        <w:rPr>
          <w:rFonts w:ascii="Times New Roman" w:hAnsi="Times New Roman" w:cs="Times New Roman"/>
          <w:color w:val="auto"/>
          <w:lang w:val="mk-MK"/>
        </w:rPr>
      </w:pPr>
    </w:p>
    <w:p w14:paraId="01DDA24A" w14:textId="77777777" w:rsidR="00FE200F" w:rsidRDefault="00E77CAF">
      <w:pPr>
        <w:pStyle w:val="Heading3"/>
        <w:jc w:val="both"/>
        <w:rPr>
          <w:rFonts w:ascii="Times New Roman" w:hAnsi="Times New Roman" w:cs="Times New Roman"/>
          <w:lang w:val="mk-MK"/>
        </w:rPr>
      </w:pPr>
      <w:bookmarkStart w:id="85" w:name="_Toc240630068"/>
      <w:bookmarkStart w:id="86" w:name="_Toc243908011"/>
      <w:r>
        <w:rPr>
          <w:rFonts w:ascii="Times New Roman" w:hAnsi="Times New Roman" w:cs="Times New Roman"/>
          <w:color w:val="auto"/>
          <w:lang w:val="mk-MK"/>
        </w:rPr>
        <w:t>5.3 Социјални фактори</w:t>
      </w:r>
      <w:bookmarkEnd w:id="85"/>
      <w:bookmarkEnd w:id="86"/>
    </w:p>
    <w:p w14:paraId="2EA7B3CC" w14:textId="77777777" w:rsidR="00FE200F" w:rsidRDefault="00E77CAF">
      <w:pPr>
        <w:pStyle w:val="Heading4"/>
        <w:jc w:val="both"/>
        <w:rPr>
          <w:rFonts w:ascii="Times New Roman" w:hAnsi="Times New Roman" w:cs="Times New Roman"/>
          <w:lang w:val="mk-MK"/>
        </w:rPr>
      </w:pPr>
      <w:r>
        <w:rPr>
          <w:rFonts w:ascii="Times New Roman" w:hAnsi="Times New Roman" w:cs="Times New Roman"/>
          <w:i w:val="0"/>
          <w:iCs w:val="0"/>
          <w:color w:val="auto"/>
          <w:lang w:val="mk-MK"/>
        </w:rPr>
        <w:t>С1: Одлив на мозоци</w:t>
      </w:r>
      <w:r>
        <w:rPr>
          <w:rFonts w:ascii="Times New Roman" w:hAnsi="Times New Roman" w:cs="Times New Roman"/>
          <w:color w:val="auto"/>
          <w:lang w:val="mk-MK"/>
        </w:rPr>
        <w:t xml:space="preserve"> (Brain Drain)</w:t>
      </w:r>
    </w:p>
    <w:p w14:paraId="72A95474"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Најголемиот социјален предизвик е емиграцијата на младите и високообразованите кадри. ИКТ професионалците се најмоб</w:t>
      </w:r>
      <w:r>
        <w:rPr>
          <w:rFonts w:ascii="Times New Roman" w:hAnsi="Times New Roman" w:cs="Times New Roman"/>
          <w:color w:val="auto"/>
          <w:lang w:val="mk-MK"/>
        </w:rPr>
        <w:t>илната работна сила на глобално ниво. Задржувањето на ВИ талентите во државата бара не само конкурентни плати, туку и предизвикувачки проекти, добра инфраструктура, функционален државен систем и висок квалитет на живот.</w:t>
      </w:r>
    </w:p>
    <w:p w14:paraId="6519D196" w14:textId="77777777" w:rsidR="00FE200F" w:rsidRDefault="00FE200F">
      <w:pPr>
        <w:jc w:val="both"/>
        <w:rPr>
          <w:rFonts w:ascii="Times New Roman" w:hAnsi="Times New Roman" w:cs="Times New Roman"/>
          <w:color w:val="auto"/>
          <w:lang w:val="mk-MK"/>
        </w:rPr>
      </w:pPr>
    </w:p>
    <w:p w14:paraId="2A8A5377" w14:textId="77777777" w:rsidR="00FE200F" w:rsidRDefault="00E77CAF">
      <w:pPr>
        <w:pStyle w:val="Heading4"/>
        <w:jc w:val="both"/>
        <w:rPr>
          <w:rFonts w:ascii="Times New Roman" w:hAnsi="Times New Roman" w:cs="Times New Roman"/>
          <w:lang w:val="mk-MK"/>
        </w:rPr>
      </w:pPr>
      <w:r>
        <w:rPr>
          <w:rFonts w:ascii="Times New Roman" w:hAnsi="Times New Roman" w:cs="Times New Roman"/>
          <w:i w:val="0"/>
          <w:iCs w:val="0"/>
          <w:color w:val="auto"/>
          <w:lang w:val="mk-MK"/>
        </w:rPr>
        <w:t>С2: Дигитален јаз и нееднаквост</w:t>
      </w:r>
    </w:p>
    <w:p w14:paraId="17B0CC42"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Пос</w:t>
      </w:r>
      <w:r>
        <w:rPr>
          <w:rFonts w:ascii="Times New Roman" w:hAnsi="Times New Roman" w:cs="Times New Roman"/>
          <w:color w:val="auto"/>
          <w:lang w:val="mk-MK"/>
        </w:rPr>
        <w:t>тои значителен дигитален јаз помеѓу урбаните и руралните средини, како и помеѓу различните возрасни групи. Имплементацијата на напредни ВИ услуги во јавниот сектор мора да биде придружена со програми за дигитална инклузија, за да не се случи маргинализиран</w:t>
      </w:r>
      <w:r>
        <w:rPr>
          <w:rFonts w:ascii="Times New Roman" w:hAnsi="Times New Roman" w:cs="Times New Roman"/>
          <w:color w:val="auto"/>
          <w:lang w:val="mk-MK"/>
        </w:rPr>
        <w:t>ите групи да бидат целосно исклучени од системот.</w:t>
      </w:r>
    </w:p>
    <w:p w14:paraId="7498B326" w14:textId="77777777" w:rsidR="00FE200F" w:rsidRDefault="00FE200F">
      <w:pPr>
        <w:jc w:val="both"/>
        <w:rPr>
          <w:rFonts w:ascii="Times New Roman" w:hAnsi="Times New Roman" w:cs="Times New Roman"/>
          <w:color w:val="auto"/>
          <w:lang w:val="mk-MK"/>
        </w:rPr>
      </w:pPr>
    </w:p>
    <w:p w14:paraId="211DBB55" w14:textId="77777777" w:rsidR="00FE200F" w:rsidRDefault="00E77CAF">
      <w:pPr>
        <w:pStyle w:val="Heading4"/>
        <w:jc w:val="both"/>
        <w:rPr>
          <w:rFonts w:ascii="Times New Roman" w:hAnsi="Times New Roman" w:cs="Times New Roman"/>
          <w:lang w:val="mk-MK"/>
        </w:rPr>
      </w:pPr>
      <w:r>
        <w:rPr>
          <w:rFonts w:ascii="Times New Roman" w:hAnsi="Times New Roman" w:cs="Times New Roman"/>
          <w:i w:val="0"/>
          <w:iCs w:val="0"/>
          <w:color w:val="auto"/>
          <w:lang w:val="mk-MK"/>
        </w:rPr>
        <w:t>С3: Мултијазичност и културен контекст</w:t>
      </w:r>
    </w:p>
    <w:p w14:paraId="0CA86F65"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Северна Македонија е мултиетничко и мултијазично општество. ВИ системите (особено јазичните модели и четботовите) кои ќе се користат во јавниот сектор мора да бидат т</w:t>
      </w:r>
      <w:r>
        <w:rPr>
          <w:rFonts w:ascii="Times New Roman" w:hAnsi="Times New Roman" w:cs="Times New Roman"/>
          <w:color w:val="auto"/>
          <w:lang w:val="mk-MK"/>
        </w:rPr>
        <w:t>ренирани да ги разбираат и генерираат македонскиот јазик со подеднаков квалитет, почитувајќи ги локалните културни специфики.</w:t>
      </w:r>
    </w:p>
    <w:p w14:paraId="34C61C0E" w14:textId="77777777" w:rsidR="00FE200F" w:rsidRDefault="00FE200F">
      <w:pPr>
        <w:jc w:val="both"/>
        <w:rPr>
          <w:rFonts w:ascii="Times New Roman" w:hAnsi="Times New Roman" w:cs="Times New Roman"/>
          <w:color w:val="auto"/>
          <w:lang w:val="mk-MK"/>
        </w:rPr>
      </w:pPr>
    </w:p>
    <w:p w14:paraId="2F2F1EED" w14:textId="77777777" w:rsidR="00FE200F" w:rsidRDefault="00E77CAF">
      <w:pPr>
        <w:pStyle w:val="Heading4"/>
        <w:jc w:val="both"/>
        <w:rPr>
          <w:rFonts w:ascii="Times New Roman" w:hAnsi="Times New Roman" w:cs="Times New Roman"/>
          <w:lang w:val="mk-MK"/>
        </w:rPr>
      </w:pPr>
      <w:r>
        <w:rPr>
          <w:rFonts w:ascii="Times New Roman" w:hAnsi="Times New Roman" w:cs="Times New Roman"/>
          <w:i w:val="0"/>
          <w:iCs w:val="0"/>
          <w:color w:val="auto"/>
          <w:lang w:val="mk-MK"/>
        </w:rPr>
        <w:lastRenderedPageBreak/>
        <w:t>С4: Ниска доверба во институциите</w:t>
      </w:r>
    </w:p>
    <w:p w14:paraId="3DC23BC5"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Општата недоверба на граѓаните кон државните институции може да се преслика и како недоверба </w:t>
      </w:r>
      <w:r>
        <w:rPr>
          <w:rFonts w:ascii="Times New Roman" w:hAnsi="Times New Roman" w:cs="Times New Roman"/>
          <w:color w:val="auto"/>
          <w:lang w:val="mk-MK"/>
        </w:rPr>
        <w:t>кон ВИ системите кои тие ги имплементираат. Транспарентноста во тоа како алгоритмите носат одлуки и како се користат податоците на граѓаните е клучна за социјалното прифаќање на технологијата.</w:t>
      </w:r>
    </w:p>
    <w:p w14:paraId="5F7BCDF4" w14:textId="77777777" w:rsidR="00FE200F" w:rsidRDefault="00FE200F">
      <w:pPr>
        <w:jc w:val="both"/>
        <w:rPr>
          <w:rFonts w:ascii="Times New Roman" w:hAnsi="Times New Roman" w:cs="Times New Roman"/>
          <w:color w:val="auto"/>
          <w:lang w:val="mk-MK"/>
        </w:rPr>
      </w:pPr>
    </w:p>
    <w:p w14:paraId="2B98FE3B" w14:textId="77777777" w:rsidR="00FE200F" w:rsidRDefault="00E77CAF">
      <w:pPr>
        <w:pStyle w:val="Heading3"/>
        <w:jc w:val="both"/>
        <w:rPr>
          <w:rFonts w:ascii="Times New Roman" w:hAnsi="Times New Roman" w:cs="Times New Roman"/>
          <w:lang w:val="mk-MK"/>
        </w:rPr>
      </w:pPr>
      <w:bookmarkStart w:id="87" w:name="_Toc240630069"/>
      <w:bookmarkStart w:id="88" w:name="_Toc243908012"/>
      <w:r>
        <w:rPr>
          <w:rFonts w:ascii="Times New Roman" w:hAnsi="Times New Roman" w:cs="Times New Roman"/>
          <w:color w:val="auto"/>
          <w:lang w:val="mk-MK"/>
        </w:rPr>
        <w:t>5.4 Технолошки фактори</w:t>
      </w:r>
      <w:bookmarkEnd w:id="87"/>
      <w:bookmarkEnd w:id="88"/>
    </w:p>
    <w:p w14:paraId="275DE930" w14:textId="77777777" w:rsidR="00FE200F" w:rsidRDefault="00E77CAF">
      <w:pPr>
        <w:pStyle w:val="Heading4"/>
        <w:jc w:val="both"/>
        <w:rPr>
          <w:rFonts w:ascii="Times New Roman" w:hAnsi="Times New Roman" w:cs="Times New Roman"/>
          <w:lang w:val="mk-MK"/>
        </w:rPr>
      </w:pPr>
      <w:r>
        <w:rPr>
          <w:rFonts w:ascii="Times New Roman" w:hAnsi="Times New Roman" w:cs="Times New Roman"/>
          <w:i w:val="0"/>
          <w:iCs w:val="0"/>
          <w:color w:val="auto"/>
          <w:lang w:val="mk-MK"/>
        </w:rPr>
        <w:t>Т0: Дигитална подготвеност -</w:t>
      </w:r>
      <w:r>
        <w:rPr>
          <w:rFonts w:ascii="Times New Roman" w:hAnsi="Times New Roman" w:cs="Times New Roman"/>
          <w:color w:val="auto"/>
          <w:lang w:val="mk-MK"/>
        </w:rPr>
        <w:t xml:space="preserve"> Systematic</w:t>
      </w:r>
      <w:r>
        <w:rPr>
          <w:rFonts w:ascii="Times New Roman" w:hAnsi="Times New Roman" w:cs="Times New Roman"/>
          <w:color w:val="auto"/>
          <w:lang w:val="mk-MK"/>
        </w:rPr>
        <w:t xml:space="preserve"> Phase</w:t>
      </w:r>
    </w:p>
    <w:p w14:paraId="58C7A26A"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Според </w:t>
      </w:r>
      <w:r>
        <w:rPr>
          <w:rFonts w:ascii="Times New Roman" w:hAnsi="Times New Roman" w:cs="Times New Roman"/>
          <w:i/>
          <w:iCs/>
          <w:color w:val="auto"/>
          <w:lang w:val="mk-MK"/>
        </w:rPr>
        <w:t>UNDP Digital Readiness Assessment</w:t>
      </w:r>
      <w:r>
        <w:rPr>
          <w:rFonts w:ascii="Times New Roman" w:hAnsi="Times New Roman" w:cs="Times New Roman"/>
          <w:color w:val="auto"/>
          <w:lang w:val="mk-MK"/>
        </w:rPr>
        <w:t xml:space="preserve"> (2023), Северна Македонија е во „Систематска фаза“</w:t>
      </w:r>
      <w:r>
        <w:rPr>
          <w:rFonts w:ascii="Times New Roman" w:hAnsi="Times New Roman" w:cs="Times New Roman"/>
          <w:bCs/>
          <w:color w:val="auto"/>
          <w:lang w:val="mk-MK"/>
        </w:rPr>
        <w:t xml:space="preserve"> (Фаза 3 од 5)</w:t>
      </w:r>
      <w:r>
        <w:rPr>
          <w:rFonts w:ascii="Times New Roman" w:hAnsi="Times New Roman" w:cs="Times New Roman"/>
          <w:color w:val="auto"/>
          <w:lang w:val="mk-MK"/>
        </w:rPr>
        <w:t xml:space="preserve"> за дигитална подготвеност — земјата систематски применува дигитални алатки во приоритетни области, но бизнис секторот заостанува во „Фаза на ис</w:t>
      </w:r>
      <w:r>
        <w:rPr>
          <w:rFonts w:ascii="Times New Roman" w:hAnsi="Times New Roman" w:cs="Times New Roman"/>
          <w:color w:val="auto"/>
          <w:lang w:val="mk-MK"/>
        </w:rPr>
        <w:t xml:space="preserve">користување на можностите“ </w:t>
      </w:r>
      <w:r>
        <w:rPr>
          <w:rFonts w:ascii="Times New Roman" w:hAnsi="Times New Roman" w:cs="Times New Roman"/>
          <w:bCs/>
          <w:color w:val="auto"/>
          <w:lang w:val="mk-MK"/>
        </w:rPr>
        <w:t>(Фаза 2 од 5)</w:t>
      </w:r>
      <w:r>
        <w:rPr>
          <w:rFonts w:ascii="Times New Roman" w:hAnsi="Times New Roman" w:cs="Times New Roman"/>
          <w:color w:val="auto"/>
          <w:lang w:val="mk-MK"/>
        </w:rPr>
        <w:t>. Ова значи дека постои значителен јаз помеѓу јавниот и приватниот сектор во однос на дигиталната зрелост. Националниот портал за е-услуги нуди 325 е-услуги на четврто ниво на софистицираност, но интероперабилноста м</w:t>
      </w:r>
      <w:r>
        <w:rPr>
          <w:rFonts w:ascii="Times New Roman" w:hAnsi="Times New Roman" w:cs="Times New Roman"/>
          <w:color w:val="auto"/>
          <w:lang w:val="mk-MK"/>
        </w:rPr>
        <w:t>еѓу системите останува предизвик. ИКТ секторот, пак, покажува силен раст: 1,65 милијарди евра приходи, 23.948 вработени и 664 милиони евра извоз во 2024 година, создавајќи солидна основа за развој на домашни ВИ решенија. Оваа технолошка слабост е меѓународ</w:t>
      </w:r>
      <w:r>
        <w:rPr>
          <w:rFonts w:ascii="Times New Roman" w:hAnsi="Times New Roman" w:cs="Times New Roman"/>
          <w:color w:val="auto"/>
          <w:lang w:val="mk-MK"/>
        </w:rPr>
        <w:t xml:space="preserve">но верификувана: </w:t>
      </w:r>
      <w:r>
        <w:rPr>
          <w:rFonts w:ascii="Times New Roman" w:hAnsi="Times New Roman" w:cs="Times New Roman"/>
          <w:i/>
          <w:iCs/>
          <w:color w:val="auto"/>
          <w:lang w:val="mk-MK"/>
        </w:rPr>
        <w:t>Oxford Insights Government AI Readiness Index 2025</w:t>
      </w:r>
      <w:r>
        <w:rPr>
          <w:rFonts w:ascii="Times New Roman" w:hAnsi="Times New Roman" w:cs="Times New Roman"/>
          <w:color w:val="auto"/>
          <w:lang w:val="mk-MK"/>
        </w:rPr>
        <w:t xml:space="preserve"> и доделува на Македонија </w:t>
      </w:r>
      <w:r>
        <w:rPr>
          <w:rFonts w:ascii="Times New Roman" w:hAnsi="Times New Roman" w:cs="Times New Roman"/>
          <w:i/>
          <w:iCs/>
          <w:color w:val="auto"/>
          <w:lang w:val="mk-MK"/>
        </w:rPr>
        <w:t>AI Infrastructure score</w:t>
      </w:r>
      <w:r>
        <w:rPr>
          <w:rFonts w:ascii="Times New Roman" w:hAnsi="Times New Roman" w:cs="Times New Roman"/>
          <w:color w:val="auto"/>
          <w:lang w:val="mk-MK"/>
        </w:rPr>
        <w:t xml:space="preserve"> од само 41.12/100, наспроти Србија (52.75) и Хрватска (52.04) — јаз од преку 11 поени. Со оглед на тоа дека Србија е членка на </w:t>
      </w:r>
      <w:r>
        <w:rPr>
          <w:rFonts w:ascii="Times New Roman" w:hAnsi="Times New Roman" w:cs="Times New Roman"/>
          <w:i/>
          <w:iCs/>
          <w:color w:val="auto"/>
          <w:lang w:val="mk-MK"/>
        </w:rPr>
        <w:t>EuroHPC Join</w:t>
      </w:r>
      <w:r>
        <w:rPr>
          <w:rFonts w:ascii="Times New Roman" w:hAnsi="Times New Roman" w:cs="Times New Roman"/>
          <w:i/>
          <w:iCs/>
          <w:color w:val="auto"/>
          <w:lang w:val="mk-MK"/>
        </w:rPr>
        <w:t>t Undertaking</w:t>
      </w:r>
      <w:r>
        <w:rPr>
          <w:rFonts w:ascii="Times New Roman" w:hAnsi="Times New Roman" w:cs="Times New Roman"/>
          <w:color w:val="auto"/>
          <w:lang w:val="mk-MK"/>
        </w:rPr>
        <w:t xml:space="preserve"> и оперира со национална суперкомпјутерска платформа, а Хрватска исто така има пристап до </w:t>
      </w:r>
      <w:r>
        <w:rPr>
          <w:rFonts w:ascii="Times New Roman" w:hAnsi="Times New Roman" w:cs="Times New Roman"/>
          <w:i/>
          <w:iCs/>
          <w:color w:val="auto"/>
          <w:lang w:val="mk-MK"/>
        </w:rPr>
        <w:t>EuroHPC</w:t>
      </w:r>
      <w:r>
        <w:rPr>
          <w:rFonts w:ascii="Times New Roman" w:hAnsi="Times New Roman" w:cs="Times New Roman"/>
          <w:color w:val="auto"/>
          <w:lang w:val="mk-MK"/>
        </w:rPr>
        <w:t xml:space="preserve"> ресурси преку ЕУ членството, Македонија е единствена земја во регионот без пристап до напредна пресметковна инфраструктура. Целта за 2028 треба да биде достигнување на </w:t>
      </w:r>
      <w:r>
        <w:rPr>
          <w:rFonts w:ascii="Times New Roman" w:hAnsi="Times New Roman" w:cs="Times New Roman"/>
          <w:i/>
          <w:iCs/>
          <w:color w:val="auto"/>
          <w:lang w:val="mk-MK"/>
        </w:rPr>
        <w:t>AI Infrastructure score</w:t>
      </w:r>
      <w:r>
        <w:rPr>
          <w:rFonts w:ascii="Times New Roman" w:hAnsi="Times New Roman" w:cs="Times New Roman"/>
          <w:color w:val="auto"/>
          <w:lang w:val="mk-MK"/>
        </w:rPr>
        <w:t xml:space="preserve"> од 50.00+ преку влез во </w:t>
      </w:r>
      <w:r>
        <w:rPr>
          <w:rFonts w:ascii="Times New Roman" w:hAnsi="Times New Roman" w:cs="Times New Roman"/>
          <w:i/>
          <w:iCs/>
          <w:color w:val="auto"/>
          <w:lang w:val="mk-MK"/>
        </w:rPr>
        <w:t>EuroHPC</w:t>
      </w:r>
      <w:r>
        <w:rPr>
          <w:rFonts w:ascii="Times New Roman" w:hAnsi="Times New Roman" w:cs="Times New Roman"/>
          <w:color w:val="auto"/>
          <w:lang w:val="mk-MK"/>
        </w:rPr>
        <w:t xml:space="preserve"> конзорциум и/или регионален спо</w:t>
      </w:r>
      <w:r>
        <w:rPr>
          <w:rFonts w:ascii="Times New Roman" w:hAnsi="Times New Roman" w:cs="Times New Roman"/>
          <w:color w:val="auto"/>
          <w:lang w:val="mk-MK"/>
        </w:rPr>
        <w:t xml:space="preserve">делен </w:t>
      </w:r>
      <w:r>
        <w:rPr>
          <w:rFonts w:ascii="Times New Roman" w:hAnsi="Times New Roman" w:cs="Times New Roman"/>
          <w:i/>
          <w:iCs/>
          <w:color w:val="auto"/>
          <w:lang w:val="mk-MK"/>
        </w:rPr>
        <w:t>HPC</w:t>
      </w:r>
      <w:r>
        <w:rPr>
          <w:rFonts w:ascii="Times New Roman" w:hAnsi="Times New Roman" w:cs="Times New Roman"/>
          <w:color w:val="auto"/>
          <w:lang w:val="mk-MK"/>
        </w:rPr>
        <w:t xml:space="preserve"> центар во рамките на Отворен Балкан иницијативата.</w:t>
      </w:r>
    </w:p>
    <w:p w14:paraId="7DAE9D63" w14:textId="77777777" w:rsidR="00FE200F" w:rsidRDefault="00FE200F">
      <w:pPr>
        <w:jc w:val="both"/>
        <w:rPr>
          <w:rFonts w:ascii="Times New Roman" w:hAnsi="Times New Roman" w:cs="Times New Roman"/>
          <w:color w:val="auto"/>
          <w:lang w:val="mk-MK"/>
        </w:rPr>
      </w:pPr>
    </w:p>
    <w:p w14:paraId="2ED8D9D9" w14:textId="77777777" w:rsidR="00FE200F" w:rsidRDefault="00E77CAF">
      <w:pPr>
        <w:pStyle w:val="Heading4"/>
        <w:jc w:val="both"/>
        <w:rPr>
          <w:rFonts w:ascii="Times New Roman" w:hAnsi="Times New Roman" w:cs="Times New Roman"/>
          <w:lang w:val="mk-MK"/>
        </w:rPr>
      </w:pPr>
      <w:r>
        <w:rPr>
          <w:rFonts w:ascii="Times New Roman" w:hAnsi="Times New Roman" w:cs="Times New Roman"/>
          <w:i w:val="0"/>
          <w:iCs w:val="0"/>
          <w:color w:val="auto"/>
          <w:lang w:val="mk-MK"/>
        </w:rPr>
        <w:t xml:space="preserve">Т1: Недостаток на </w:t>
      </w:r>
      <w:r>
        <w:rPr>
          <w:rFonts w:ascii="Times New Roman" w:hAnsi="Times New Roman" w:cs="Times New Roman"/>
          <w:color w:val="auto"/>
          <w:lang w:val="mk-MK"/>
        </w:rPr>
        <w:t>HPC</w:t>
      </w:r>
      <w:r>
        <w:rPr>
          <w:rFonts w:ascii="Times New Roman" w:hAnsi="Times New Roman" w:cs="Times New Roman"/>
          <w:i w:val="0"/>
          <w:iCs w:val="0"/>
          <w:color w:val="auto"/>
          <w:lang w:val="mk-MK"/>
        </w:rPr>
        <w:t xml:space="preserve"> инфраструктура</w:t>
      </w:r>
    </w:p>
    <w:p w14:paraId="502A2F79"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Според Глобалниот индекс на иновации, кој е клучен индикатор за подготвеноста на една земја да развива и апсорбира напредни технологии како ВИ, Северна Макед</w:t>
      </w:r>
      <w:r>
        <w:rPr>
          <w:rFonts w:ascii="Times New Roman" w:hAnsi="Times New Roman" w:cs="Times New Roman"/>
          <w:color w:val="auto"/>
          <w:lang w:val="mk-MK"/>
        </w:rPr>
        <w:t>онија покажува диспропорционален развој во споредба со регионот:</w:t>
      </w:r>
    </w:p>
    <w:tbl>
      <w:tblPr>
        <w:tblStyle w:val="GridTable5Dark-Accent5"/>
        <w:tblW w:w="9112" w:type="dxa"/>
        <w:tblInd w:w="113" w:type="dxa"/>
        <w:shd w:val="clear" w:color="auto" w:fill="DAEEF3"/>
        <w:tblLayout w:type="fixed"/>
        <w:tblLook w:val="04A0" w:firstRow="1" w:lastRow="0" w:firstColumn="1" w:lastColumn="0" w:noHBand="0" w:noVBand="1"/>
      </w:tblPr>
      <w:tblGrid>
        <w:gridCol w:w="2121"/>
        <w:gridCol w:w="1550"/>
        <w:gridCol w:w="1449"/>
        <w:gridCol w:w="1294"/>
        <w:gridCol w:w="1324"/>
        <w:gridCol w:w="1374"/>
      </w:tblGrid>
      <w:tr w:rsidR="00FE200F" w14:paraId="708B8230" w14:textId="77777777" w:rsidTr="00FE20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0" w:type="dxa"/>
          </w:tcPr>
          <w:p w14:paraId="7D6C2665" w14:textId="77777777" w:rsidR="00FE200F" w:rsidRDefault="00E77CAF">
            <w:pPr>
              <w:rPr>
                <w:rFonts w:ascii="Times New Roman" w:hAnsi="Times New Roman" w:cs="Times New Roman"/>
                <w:lang w:val="mk-MK"/>
              </w:rPr>
            </w:pPr>
            <w:r>
              <w:rPr>
                <w:rFonts w:ascii="Times New Roman" w:hAnsi="Times New Roman" w:cs="Times New Roman"/>
                <w:color w:val="auto"/>
                <w:lang w:val="mk-MK"/>
              </w:rPr>
              <w:t>Индикатор</w:t>
            </w:r>
          </w:p>
        </w:tc>
        <w:tc>
          <w:tcPr>
            <w:tcW w:w="1550" w:type="dxa"/>
            <w:tcBorders>
              <w:bottom w:val="nil"/>
            </w:tcBorders>
          </w:tcPr>
          <w:p w14:paraId="3909F10B" w14:textId="77777777" w:rsidR="00FE200F" w:rsidRDefault="00E77CA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Северна Македонија</w:t>
            </w:r>
          </w:p>
        </w:tc>
        <w:tc>
          <w:tcPr>
            <w:tcW w:w="1449" w:type="dxa"/>
            <w:tcBorders>
              <w:bottom w:val="nil"/>
            </w:tcBorders>
          </w:tcPr>
          <w:p w14:paraId="4D7112AE" w14:textId="77777777" w:rsidR="00FE200F" w:rsidRDefault="00E77CA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Албанија</w:t>
            </w:r>
          </w:p>
        </w:tc>
        <w:tc>
          <w:tcPr>
            <w:tcW w:w="1294" w:type="dxa"/>
            <w:tcBorders>
              <w:bottom w:val="nil"/>
            </w:tcBorders>
          </w:tcPr>
          <w:p w14:paraId="05E67555" w14:textId="77777777" w:rsidR="00FE200F" w:rsidRDefault="00E77CA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БиХ</w:t>
            </w:r>
          </w:p>
        </w:tc>
        <w:tc>
          <w:tcPr>
            <w:tcW w:w="1324" w:type="dxa"/>
            <w:tcBorders>
              <w:bottom w:val="nil"/>
            </w:tcBorders>
          </w:tcPr>
          <w:p w14:paraId="752FE25E" w14:textId="77777777" w:rsidR="00FE200F" w:rsidRDefault="00E77CA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Црна Гора</w:t>
            </w:r>
          </w:p>
        </w:tc>
        <w:tc>
          <w:tcPr>
            <w:tcW w:w="1374" w:type="dxa"/>
            <w:tcBorders>
              <w:bottom w:val="nil"/>
            </w:tcBorders>
          </w:tcPr>
          <w:p w14:paraId="490C1B98" w14:textId="77777777" w:rsidR="00FE200F" w:rsidRDefault="00E77CA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Србија</w:t>
            </w:r>
          </w:p>
        </w:tc>
      </w:tr>
      <w:tr w:rsidR="00FE200F" w14:paraId="00467708"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0" w:type="dxa"/>
            <w:tcBorders>
              <w:right w:val="nil"/>
            </w:tcBorders>
          </w:tcPr>
          <w:p w14:paraId="330E61D3" w14:textId="77777777" w:rsidR="00FE200F" w:rsidRDefault="00E77CAF">
            <w:pPr>
              <w:rPr>
                <w:rFonts w:ascii="Times New Roman" w:hAnsi="Times New Roman" w:cs="Times New Roman"/>
                <w:lang w:val="mk-MK"/>
              </w:rPr>
            </w:pPr>
            <w:r>
              <w:rPr>
                <w:rFonts w:ascii="Times New Roman" w:hAnsi="Times New Roman" w:cs="Times New Roman"/>
                <w:color w:val="auto"/>
                <w:lang w:val="mk-MK"/>
              </w:rPr>
              <w:t>Вкупно рангирање</w:t>
            </w:r>
          </w:p>
        </w:tc>
        <w:tc>
          <w:tcPr>
            <w:tcW w:w="1550" w:type="dxa"/>
          </w:tcPr>
          <w:p w14:paraId="49CBB531"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66</w:t>
            </w:r>
          </w:p>
        </w:tc>
        <w:tc>
          <w:tcPr>
            <w:tcW w:w="1449" w:type="dxa"/>
          </w:tcPr>
          <w:p w14:paraId="26F2F4F7"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84</w:t>
            </w:r>
          </w:p>
        </w:tc>
        <w:tc>
          <w:tcPr>
            <w:tcW w:w="1294" w:type="dxa"/>
          </w:tcPr>
          <w:p w14:paraId="51AC6B3D"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70</w:t>
            </w:r>
          </w:p>
        </w:tc>
        <w:tc>
          <w:tcPr>
            <w:tcW w:w="1324" w:type="dxa"/>
          </w:tcPr>
          <w:p w14:paraId="5E9AF640"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60</w:t>
            </w:r>
          </w:p>
        </w:tc>
        <w:tc>
          <w:tcPr>
            <w:tcW w:w="1374" w:type="dxa"/>
          </w:tcPr>
          <w:p w14:paraId="79E5CF16"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bCs/>
                <w:color w:val="auto"/>
                <w:lang w:val="mk-MK"/>
              </w:rPr>
              <w:t>55</w:t>
            </w:r>
          </w:p>
        </w:tc>
      </w:tr>
      <w:tr w:rsidR="00FE200F" w14:paraId="3EEDF0BD" w14:textId="77777777" w:rsidTr="00FE200F">
        <w:tc>
          <w:tcPr>
            <w:cnfStyle w:val="001000000000" w:firstRow="0" w:lastRow="0" w:firstColumn="1" w:lastColumn="0" w:oddVBand="0" w:evenVBand="0" w:oddHBand="0" w:evenHBand="0" w:firstRowFirstColumn="0" w:firstRowLastColumn="0" w:lastRowFirstColumn="0" w:lastRowLastColumn="0"/>
            <w:tcW w:w="2120" w:type="dxa"/>
            <w:tcBorders>
              <w:right w:val="nil"/>
            </w:tcBorders>
          </w:tcPr>
          <w:p w14:paraId="2A5120EF" w14:textId="77777777" w:rsidR="00FE200F" w:rsidRDefault="00E77CAF">
            <w:pPr>
              <w:rPr>
                <w:rFonts w:ascii="Times New Roman" w:hAnsi="Times New Roman" w:cs="Times New Roman"/>
                <w:lang w:val="mk-MK"/>
              </w:rPr>
            </w:pPr>
            <w:r>
              <w:rPr>
                <w:rFonts w:ascii="Times New Roman" w:hAnsi="Times New Roman" w:cs="Times New Roman"/>
                <w:color w:val="auto"/>
                <w:lang w:val="mk-MK"/>
              </w:rPr>
              <w:t>Институции</w:t>
            </w:r>
          </w:p>
        </w:tc>
        <w:tc>
          <w:tcPr>
            <w:tcW w:w="1550" w:type="dxa"/>
          </w:tcPr>
          <w:p w14:paraId="05693F0E"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88</w:t>
            </w:r>
          </w:p>
        </w:tc>
        <w:tc>
          <w:tcPr>
            <w:tcW w:w="1449" w:type="dxa"/>
          </w:tcPr>
          <w:p w14:paraId="31A4AFDD"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84</w:t>
            </w:r>
          </w:p>
        </w:tc>
        <w:tc>
          <w:tcPr>
            <w:tcW w:w="1294" w:type="dxa"/>
          </w:tcPr>
          <w:p w14:paraId="15FB7878"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94</w:t>
            </w:r>
          </w:p>
        </w:tc>
        <w:tc>
          <w:tcPr>
            <w:tcW w:w="1324" w:type="dxa"/>
          </w:tcPr>
          <w:p w14:paraId="6B495C7F"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59</w:t>
            </w:r>
          </w:p>
        </w:tc>
        <w:tc>
          <w:tcPr>
            <w:tcW w:w="1374" w:type="dxa"/>
          </w:tcPr>
          <w:p w14:paraId="786E6A38"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bCs/>
                <w:color w:val="auto"/>
                <w:lang w:val="mk-MK"/>
              </w:rPr>
              <w:t>53</w:t>
            </w:r>
          </w:p>
        </w:tc>
      </w:tr>
      <w:tr w:rsidR="00FE200F" w14:paraId="7B04C874"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0" w:type="dxa"/>
            <w:tcBorders>
              <w:right w:val="nil"/>
            </w:tcBorders>
          </w:tcPr>
          <w:p w14:paraId="49394905" w14:textId="77777777" w:rsidR="00FE200F" w:rsidRDefault="00E77CAF">
            <w:pPr>
              <w:rPr>
                <w:rFonts w:ascii="Times New Roman" w:hAnsi="Times New Roman" w:cs="Times New Roman"/>
                <w:lang w:val="mk-MK"/>
              </w:rPr>
            </w:pPr>
            <w:r>
              <w:rPr>
                <w:rFonts w:ascii="Times New Roman" w:hAnsi="Times New Roman" w:cs="Times New Roman"/>
                <w:color w:val="auto"/>
                <w:lang w:val="mk-MK"/>
              </w:rPr>
              <w:t>Човечки капитал и истражување</w:t>
            </w:r>
          </w:p>
        </w:tc>
        <w:tc>
          <w:tcPr>
            <w:tcW w:w="1550" w:type="dxa"/>
          </w:tcPr>
          <w:p w14:paraId="35B30DCC"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75</w:t>
            </w:r>
          </w:p>
        </w:tc>
        <w:tc>
          <w:tcPr>
            <w:tcW w:w="1449" w:type="dxa"/>
          </w:tcPr>
          <w:p w14:paraId="312521CD"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89</w:t>
            </w:r>
          </w:p>
        </w:tc>
        <w:tc>
          <w:tcPr>
            <w:tcW w:w="1294" w:type="dxa"/>
          </w:tcPr>
          <w:p w14:paraId="788E9561"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67</w:t>
            </w:r>
          </w:p>
        </w:tc>
        <w:tc>
          <w:tcPr>
            <w:tcW w:w="1324" w:type="dxa"/>
          </w:tcPr>
          <w:p w14:paraId="11059743"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61</w:t>
            </w:r>
          </w:p>
        </w:tc>
        <w:tc>
          <w:tcPr>
            <w:tcW w:w="1374" w:type="dxa"/>
          </w:tcPr>
          <w:p w14:paraId="1E88A3E8"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bCs/>
                <w:color w:val="auto"/>
                <w:lang w:val="mk-MK"/>
              </w:rPr>
              <w:t>52</w:t>
            </w:r>
          </w:p>
        </w:tc>
      </w:tr>
      <w:tr w:rsidR="00FE200F" w14:paraId="294343E0" w14:textId="77777777" w:rsidTr="00FE200F">
        <w:tc>
          <w:tcPr>
            <w:cnfStyle w:val="001000000000" w:firstRow="0" w:lastRow="0" w:firstColumn="1" w:lastColumn="0" w:oddVBand="0" w:evenVBand="0" w:oddHBand="0" w:evenHBand="0" w:firstRowFirstColumn="0" w:firstRowLastColumn="0" w:lastRowFirstColumn="0" w:lastRowLastColumn="0"/>
            <w:tcW w:w="2120" w:type="dxa"/>
            <w:tcBorders>
              <w:right w:val="nil"/>
            </w:tcBorders>
          </w:tcPr>
          <w:p w14:paraId="018B0DCB" w14:textId="77777777" w:rsidR="00FE200F" w:rsidRDefault="00E77CAF">
            <w:pPr>
              <w:rPr>
                <w:rFonts w:ascii="Times New Roman" w:hAnsi="Times New Roman" w:cs="Times New Roman"/>
                <w:lang w:val="mk-MK"/>
              </w:rPr>
            </w:pPr>
            <w:r>
              <w:rPr>
                <w:rFonts w:ascii="Times New Roman" w:hAnsi="Times New Roman" w:cs="Times New Roman"/>
                <w:color w:val="auto"/>
                <w:lang w:val="mk-MK"/>
              </w:rPr>
              <w:t>Инфраструктура</w:t>
            </w:r>
          </w:p>
        </w:tc>
        <w:tc>
          <w:tcPr>
            <w:tcW w:w="1550" w:type="dxa"/>
          </w:tcPr>
          <w:p w14:paraId="4E9CDDC4"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bCs/>
                <w:color w:val="auto"/>
                <w:lang w:val="mk-MK"/>
              </w:rPr>
              <w:t>49</w:t>
            </w:r>
          </w:p>
        </w:tc>
        <w:tc>
          <w:tcPr>
            <w:tcW w:w="1449" w:type="dxa"/>
          </w:tcPr>
          <w:p w14:paraId="72F48ACF"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57</w:t>
            </w:r>
          </w:p>
        </w:tc>
        <w:tc>
          <w:tcPr>
            <w:tcW w:w="1294" w:type="dxa"/>
          </w:tcPr>
          <w:p w14:paraId="2A7E0E01"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55</w:t>
            </w:r>
          </w:p>
        </w:tc>
        <w:tc>
          <w:tcPr>
            <w:tcW w:w="1324" w:type="dxa"/>
          </w:tcPr>
          <w:p w14:paraId="40EBF7EE"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44</w:t>
            </w:r>
          </w:p>
        </w:tc>
        <w:tc>
          <w:tcPr>
            <w:tcW w:w="1374" w:type="dxa"/>
          </w:tcPr>
          <w:p w14:paraId="37934ED0"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38</w:t>
            </w:r>
          </w:p>
        </w:tc>
      </w:tr>
      <w:tr w:rsidR="00FE200F" w14:paraId="26F15C01"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0" w:type="dxa"/>
            <w:tcBorders>
              <w:right w:val="nil"/>
            </w:tcBorders>
          </w:tcPr>
          <w:p w14:paraId="148FB8B3" w14:textId="77777777" w:rsidR="00FE200F" w:rsidRDefault="00E77CAF">
            <w:pPr>
              <w:rPr>
                <w:rFonts w:ascii="Times New Roman" w:hAnsi="Times New Roman" w:cs="Times New Roman"/>
                <w:lang w:val="mk-MK"/>
              </w:rPr>
            </w:pPr>
            <w:r>
              <w:rPr>
                <w:rFonts w:ascii="Times New Roman" w:hAnsi="Times New Roman" w:cs="Times New Roman"/>
                <w:color w:val="auto"/>
                <w:lang w:val="mk-MK"/>
              </w:rPr>
              <w:t>Пазарна зрелост</w:t>
            </w:r>
          </w:p>
        </w:tc>
        <w:tc>
          <w:tcPr>
            <w:tcW w:w="1550" w:type="dxa"/>
          </w:tcPr>
          <w:p w14:paraId="68AD7A13"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bCs/>
                <w:color w:val="auto"/>
                <w:lang w:val="mk-MK"/>
              </w:rPr>
              <w:t>34</w:t>
            </w:r>
          </w:p>
        </w:tc>
        <w:tc>
          <w:tcPr>
            <w:tcW w:w="1449" w:type="dxa"/>
          </w:tcPr>
          <w:p w14:paraId="62311CF1"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91</w:t>
            </w:r>
          </w:p>
        </w:tc>
        <w:tc>
          <w:tcPr>
            <w:tcW w:w="1294" w:type="dxa"/>
          </w:tcPr>
          <w:p w14:paraId="113034ED"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25</w:t>
            </w:r>
          </w:p>
        </w:tc>
        <w:tc>
          <w:tcPr>
            <w:tcW w:w="1324" w:type="dxa"/>
          </w:tcPr>
          <w:p w14:paraId="016B26BE"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53</w:t>
            </w:r>
          </w:p>
        </w:tc>
        <w:tc>
          <w:tcPr>
            <w:tcW w:w="1374" w:type="dxa"/>
          </w:tcPr>
          <w:p w14:paraId="06B9F4CF"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83</w:t>
            </w:r>
          </w:p>
        </w:tc>
      </w:tr>
      <w:tr w:rsidR="00FE200F" w14:paraId="7DE07619" w14:textId="77777777" w:rsidTr="00FE200F">
        <w:tc>
          <w:tcPr>
            <w:cnfStyle w:val="001000000000" w:firstRow="0" w:lastRow="0" w:firstColumn="1" w:lastColumn="0" w:oddVBand="0" w:evenVBand="0" w:oddHBand="0" w:evenHBand="0" w:firstRowFirstColumn="0" w:firstRowLastColumn="0" w:lastRowFirstColumn="0" w:lastRowLastColumn="0"/>
            <w:tcW w:w="2120" w:type="dxa"/>
            <w:tcBorders>
              <w:right w:val="nil"/>
            </w:tcBorders>
          </w:tcPr>
          <w:p w14:paraId="14635730" w14:textId="77777777" w:rsidR="00FE200F" w:rsidRDefault="00E77CAF">
            <w:pPr>
              <w:rPr>
                <w:rFonts w:ascii="Times New Roman" w:hAnsi="Times New Roman" w:cs="Times New Roman"/>
                <w:lang w:val="mk-MK"/>
              </w:rPr>
            </w:pPr>
            <w:r>
              <w:rPr>
                <w:rFonts w:ascii="Times New Roman" w:hAnsi="Times New Roman" w:cs="Times New Roman"/>
                <w:color w:val="auto"/>
                <w:lang w:val="mk-MK"/>
              </w:rPr>
              <w:t>Деловна зрелост</w:t>
            </w:r>
          </w:p>
        </w:tc>
        <w:tc>
          <w:tcPr>
            <w:tcW w:w="1550" w:type="dxa"/>
          </w:tcPr>
          <w:p w14:paraId="42148CD7"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59</w:t>
            </w:r>
          </w:p>
        </w:tc>
        <w:tc>
          <w:tcPr>
            <w:tcW w:w="1449" w:type="dxa"/>
          </w:tcPr>
          <w:p w14:paraId="296BDF5F"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56</w:t>
            </w:r>
          </w:p>
        </w:tc>
        <w:tc>
          <w:tcPr>
            <w:tcW w:w="1294" w:type="dxa"/>
          </w:tcPr>
          <w:p w14:paraId="2A6517C7"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98</w:t>
            </w:r>
          </w:p>
        </w:tc>
        <w:tc>
          <w:tcPr>
            <w:tcW w:w="1324" w:type="dxa"/>
          </w:tcPr>
          <w:p w14:paraId="034E0616"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58</w:t>
            </w:r>
          </w:p>
        </w:tc>
        <w:tc>
          <w:tcPr>
            <w:tcW w:w="1374" w:type="dxa"/>
          </w:tcPr>
          <w:p w14:paraId="634C36D5"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65</w:t>
            </w:r>
          </w:p>
        </w:tc>
      </w:tr>
    </w:tbl>
    <w:p w14:paraId="271FA36E" w14:textId="77777777" w:rsidR="00FE200F" w:rsidRDefault="00E77CAF">
      <w:pPr>
        <w:rPr>
          <w:rFonts w:ascii="Times New Roman" w:hAnsi="Times New Roman" w:cs="Times New Roman"/>
          <w:lang w:val="mk-MK"/>
        </w:rPr>
      </w:pPr>
      <w:r>
        <w:rPr>
          <w:rFonts w:ascii="Times New Roman" w:hAnsi="Times New Roman" w:cs="Times New Roman"/>
          <w:i/>
          <w:color w:val="auto"/>
          <w:lang w:val="mk-MK"/>
        </w:rPr>
        <w:lastRenderedPageBreak/>
        <w:t>Извор: WIPO Global Innovation Index 2022, цитирано во UNDP DRA 2023</w:t>
      </w:r>
    </w:p>
    <w:p w14:paraId="03CD80AA" w14:textId="77777777" w:rsidR="00FE200F" w:rsidRDefault="00FE200F">
      <w:pPr>
        <w:rPr>
          <w:rFonts w:ascii="Times New Roman" w:hAnsi="Times New Roman" w:cs="Times New Roman"/>
          <w:color w:val="auto"/>
          <w:lang w:val="mk-MK"/>
        </w:rPr>
      </w:pPr>
    </w:p>
    <w:p w14:paraId="7DCDBB18"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Овие податоци јасно покажуваат дека Северна Македонија има силна инфраструктура (49-то место) и пазарна зрелост </w:t>
      </w:r>
      <w:r>
        <w:rPr>
          <w:rFonts w:ascii="Times New Roman" w:hAnsi="Times New Roman" w:cs="Times New Roman"/>
          <w:color w:val="auto"/>
          <w:lang w:val="mk-MK"/>
        </w:rPr>
        <w:t>(34-то место), но критично заостанува во институционалниот капацитет (88-мо место) и човечкиот капитал (75-то место). Србија, како регионален лидер во ВИ, има многу поурамнотежен екосистем со силни институции и човечки капитал.</w:t>
      </w:r>
    </w:p>
    <w:p w14:paraId="588F708B" w14:textId="77777777" w:rsidR="00FE200F" w:rsidRDefault="00E77CAF">
      <w:pPr>
        <w:pStyle w:val="Heading4"/>
        <w:jc w:val="both"/>
        <w:rPr>
          <w:rFonts w:ascii="Times New Roman" w:hAnsi="Times New Roman" w:cs="Times New Roman"/>
          <w:lang w:val="mk-MK"/>
        </w:rPr>
      </w:pPr>
      <w:r>
        <w:rPr>
          <w:rFonts w:ascii="Times New Roman" w:hAnsi="Times New Roman" w:cs="Times New Roman"/>
          <w:i w:val="0"/>
          <w:iCs w:val="0"/>
          <w:color w:val="auto"/>
          <w:lang w:val="mk-MK"/>
        </w:rPr>
        <w:t>Т2: Застарена ИТ инфраструкт</w:t>
      </w:r>
      <w:r>
        <w:rPr>
          <w:rFonts w:ascii="Times New Roman" w:hAnsi="Times New Roman" w:cs="Times New Roman"/>
          <w:i w:val="0"/>
          <w:iCs w:val="0"/>
          <w:color w:val="auto"/>
          <w:lang w:val="mk-MK"/>
        </w:rPr>
        <w:t>ура во јавниот сектор</w:t>
      </w:r>
    </w:p>
    <w:p w14:paraId="11DD62D5"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Голем дел од државните институции сè уште користат застарени ИТ системи кои не се меѓусебно поврзани. Пред да се имплементира напредна ВИ, неопходно е да се заврши основната дигитализација, миграцијата кон облак и воспоставувањето на </w:t>
      </w:r>
      <w:r>
        <w:rPr>
          <w:rFonts w:ascii="Times New Roman" w:hAnsi="Times New Roman" w:cs="Times New Roman"/>
          <w:color w:val="auto"/>
          <w:lang w:val="mk-MK"/>
        </w:rPr>
        <w:t>функционална платформа за интероперабилност.</w:t>
      </w:r>
    </w:p>
    <w:p w14:paraId="75255327" w14:textId="77777777" w:rsidR="00FE200F" w:rsidRDefault="00E77CAF">
      <w:pPr>
        <w:pStyle w:val="Heading4"/>
        <w:jc w:val="both"/>
        <w:rPr>
          <w:rFonts w:ascii="Times New Roman" w:hAnsi="Times New Roman" w:cs="Times New Roman"/>
          <w:lang w:val="mk-MK"/>
        </w:rPr>
      </w:pPr>
      <w:r>
        <w:rPr>
          <w:rFonts w:ascii="Times New Roman" w:hAnsi="Times New Roman" w:cs="Times New Roman"/>
          <w:i w:val="0"/>
          <w:iCs w:val="0"/>
          <w:color w:val="auto"/>
          <w:lang w:val="mk-MK"/>
        </w:rPr>
        <w:t xml:space="preserve">Т3: Квалитет и достапност на податоци </w:t>
      </w:r>
      <w:r>
        <w:rPr>
          <w:rFonts w:ascii="Times New Roman" w:hAnsi="Times New Roman" w:cs="Times New Roman"/>
          <w:color w:val="auto"/>
          <w:lang w:val="mk-MK"/>
        </w:rPr>
        <w:t>(Open Data)</w:t>
      </w:r>
    </w:p>
    <w:p w14:paraId="33F3EDD7" w14:textId="77777777" w:rsidR="00FE200F" w:rsidRDefault="00E77CAF">
      <w:pPr>
        <w:jc w:val="both"/>
        <w:rPr>
          <w:lang w:val="mk-MK"/>
        </w:rPr>
      </w:pPr>
      <w:r>
        <w:rPr>
          <w:rFonts w:ascii="Times New Roman" w:hAnsi="Times New Roman" w:cs="Times New Roman"/>
          <w:color w:val="auto"/>
          <w:lang w:val="mk-MK"/>
        </w:rPr>
        <w:t xml:space="preserve">Вештачката интелигенција е зависна од податоци. Иако Стратегијата за РЈА предвидува зголемување на отворените податочни сетови на над 900 до 2030 година (од 580 </w:t>
      </w:r>
      <w:r>
        <w:rPr>
          <w:rFonts w:ascii="Times New Roman" w:hAnsi="Times New Roman" w:cs="Times New Roman"/>
          <w:color w:val="auto"/>
          <w:lang w:val="mk-MK"/>
        </w:rPr>
        <w:t xml:space="preserve">во 2022), моменталната состојба е незадоволителна. Податоците честопати се неструктурирани, нецелосни или недостапни во машински читлив формат, а порталот </w:t>
      </w:r>
      <w:r>
        <w:rPr>
          <w:rFonts w:ascii="Times New Roman" w:hAnsi="Times New Roman" w:cs="Times New Roman"/>
          <w:i/>
          <w:iCs/>
          <w:color w:val="auto"/>
          <w:lang w:val="mk-MK"/>
        </w:rPr>
        <w:t>data.gov.mk</w:t>
      </w:r>
      <w:r>
        <w:rPr>
          <w:rFonts w:ascii="Times New Roman" w:hAnsi="Times New Roman" w:cs="Times New Roman"/>
          <w:color w:val="auto"/>
          <w:lang w:val="mk-MK"/>
        </w:rPr>
        <w:t xml:space="preserve"> содржи значителен дел застарени или нискоквалитетни датасети. Ова директно го оневозможува тренирањето на квалитетни ВИ модели за потребите на јавниот сектор. Недостатокот на квалитетни отворени податоци е еден од клучните фактори кои го потиснуваат </w:t>
      </w:r>
      <w:r>
        <w:rPr>
          <w:rFonts w:ascii="Times New Roman" w:hAnsi="Times New Roman" w:cs="Times New Roman"/>
          <w:i/>
          <w:iCs/>
          <w:color w:val="auto"/>
          <w:lang w:val="mk-MK"/>
        </w:rPr>
        <w:t>Devel</w:t>
      </w:r>
      <w:r>
        <w:rPr>
          <w:rFonts w:ascii="Times New Roman" w:hAnsi="Times New Roman" w:cs="Times New Roman"/>
          <w:i/>
          <w:iCs/>
          <w:color w:val="auto"/>
          <w:lang w:val="mk-MK"/>
        </w:rPr>
        <w:t>opment &amp; Diffusion score</w:t>
      </w:r>
      <w:r>
        <w:rPr>
          <w:rFonts w:ascii="Times New Roman" w:hAnsi="Times New Roman" w:cs="Times New Roman"/>
          <w:color w:val="auto"/>
          <w:lang w:val="mk-MK"/>
        </w:rPr>
        <w:t xml:space="preserve"> на Македонија (24.85/100). </w:t>
      </w:r>
      <w:r>
        <w:rPr>
          <w:lang w:val="mk-MK"/>
        </w:rPr>
        <w:t>При оценувањето на квалитетот на податоците наменети за развој и примена на ВИ системи, потребно е да се земат предвид нивната точност и веродостојност, комплетност, навременост, конзистентност и споредли</w:t>
      </w:r>
      <w:r>
        <w:rPr>
          <w:lang w:val="mk-MK"/>
        </w:rPr>
        <w:t>вост. Во зависност од намената на податоците, потребно е да се оценат и нивната репрезентативност и опфат, како и потенцијалните извори на пристрасност кои можат да влијаат врз квалитетот и веродостојноста на резултатите добиени со примена на ВИ.</w:t>
      </w:r>
    </w:p>
    <w:p w14:paraId="2FF80F86" w14:textId="77777777" w:rsidR="00FE200F" w:rsidRDefault="00FE200F">
      <w:pPr>
        <w:jc w:val="both"/>
        <w:rPr>
          <w:rFonts w:ascii="Times New Roman" w:hAnsi="Times New Roman" w:cs="Times New Roman"/>
          <w:lang w:val="mk-MK"/>
        </w:rPr>
      </w:pPr>
    </w:p>
    <w:p w14:paraId="5A7846EB" w14:textId="77777777" w:rsidR="00FE200F" w:rsidRDefault="00E77CAF">
      <w:pPr>
        <w:pStyle w:val="Heading4"/>
        <w:jc w:val="both"/>
        <w:rPr>
          <w:rFonts w:ascii="Times New Roman" w:hAnsi="Times New Roman" w:cs="Times New Roman"/>
          <w:lang w:val="mk-MK"/>
        </w:rPr>
      </w:pPr>
      <w:r>
        <w:rPr>
          <w:rFonts w:ascii="Times New Roman" w:hAnsi="Times New Roman" w:cs="Times New Roman"/>
          <w:i w:val="0"/>
          <w:iCs w:val="0"/>
          <w:color w:val="auto"/>
          <w:lang w:val="mk-MK"/>
        </w:rPr>
        <w:t xml:space="preserve">Т4: </w:t>
      </w:r>
      <w:r>
        <w:rPr>
          <w:rFonts w:ascii="Times New Roman" w:hAnsi="Times New Roman" w:cs="Times New Roman"/>
          <w:i w:val="0"/>
          <w:iCs w:val="0"/>
          <w:color w:val="auto"/>
          <w:lang w:val="mk-MK"/>
        </w:rPr>
        <w:t>Сајбер-безбедност</w:t>
      </w:r>
    </w:p>
    <w:p w14:paraId="53458AE6"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Со зголемената дигитализација расте и ранливоста на сајбер-напади. ВИ технологиите можат да се користат и за одбрана (автоматско детектирање на аномалии) и за напад (софистициран фишинг и автоматско хакирање). Националната технолошка инфр</w:t>
      </w:r>
      <w:r>
        <w:rPr>
          <w:rFonts w:ascii="Times New Roman" w:hAnsi="Times New Roman" w:cs="Times New Roman"/>
          <w:color w:val="auto"/>
          <w:lang w:val="mk-MK"/>
        </w:rPr>
        <w:t>аструктура мора да биде отпорна на овие нови, ВИ-генерирани закани.</w:t>
      </w:r>
    </w:p>
    <w:p w14:paraId="2DEE781E" w14:textId="77777777" w:rsidR="00FE200F" w:rsidRDefault="00FE200F">
      <w:pPr>
        <w:jc w:val="both"/>
        <w:rPr>
          <w:rFonts w:ascii="Times New Roman" w:hAnsi="Times New Roman" w:cs="Times New Roman"/>
          <w:color w:val="auto"/>
          <w:lang w:val="mk-MK"/>
        </w:rPr>
      </w:pPr>
    </w:p>
    <w:p w14:paraId="3082D338" w14:textId="77777777" w:rsidR="00FE200F" w:rsidRDefault="00E77CAF">
      <w:pPr>
        <w:pStyle w:val="Heading3"/>
        <w:jc w:val="both"/>
        <w:rPr>
          <w:rFonts w:ascii="Times New Roman" w:hAnsi="Times New Roman" w:cs="Times New Roman"/>
          <w:lang w:val="mk-MK"/>
        </w:rPr>
      </w:pPr>
      <w:bookmarkStart w:id="89" w:name="_Toc240630070"/>
      <w:bookmarkStart w:id="90" w:name="_Toc243908013"/>
      <w:r>
        <w:rPr>
          <w:rFonts w:ascii="Times New Roman" w:hAnsi="Times New Roman" w:cs="Times New Roman"/>
          <w:color w:val="auto"/>
          <w:lang w:val="mk-MK"/>
        </w:rPr>
        <w:t>5.5 Правни фактори</w:t>
      </w:r>
      <w:bookmarkEnd w:id="89"/>
      <w:bookmarkEnd w:id="90"/>
    </w:p>
    <w:p w14:paraId="25EDC74A" w14:textId="77777777" w:rsidR="00FE200F" w:rsidRDefault="00E77CAF">
      <w:pPr>
        <w:pStyle w:val="Heading4"/>
        <w:jc w:val="both"/>
        <w:rPr>
          <w:rFonts w:ascii="Times New Roman" w:hAnsi="Times New Roman" w:cs="Times New Roman"/>
          <w:lang w:val="mk-MK"/>
        </w:rPr>
      </w:pPr>
      <w:r>
        <w:rPr>
          <w:rFonts w:ascii="Times New Roman" w:hAnsi="Times New Roman" w:cs="Times New Roman"/>
          <w:i w:val="0"/>
          <w:iCs w:val="0"/>
          <w:color w:val="auto"/>
          <w:lang w:val="mk-MK"/>
        </w:rPr>
        <w:t>Л1: Отсуство на специфична ВИ регулатива</w:t>
      </w:r>
    </w:p>
    <w:p w14:paraId="2E032159"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Како што е наведено во </w:t>
      </w:r>
      <w:r>
        <w:rPr>
          <w:rFonts w:ascii="Times New Roman" w:hAnsi="Times New Roman" w:cs="Times New Roman"/>
          <w:i/>
          <w:iCs/>
          <w:color w:val="auto"/>
          <w:lang w:val="mk-MK"/>
        </w:rPr>
        <w:t>SWOT</w:t>
      </w:r>
      <w:r>
        <w:rPr>
          <w:rFonts w:ascii="Times New Roman" w:hAnsi="Times New Roman" w:cs="Times New Roman"/>
          <w:color w:val="auto"/>
          <w:lang w:val="mk-MK"/>
        </w:rPr>
        <w:t xml:space="preserve"> анализата, државата нема Закон за ВИ. Овој правен вакуум значи дека не постојат јасни правила за од</w:t>
      </w:r>
      <w:r>
        <w:rPr>
          <w:rFonts w:ascii="Times New Roman" w:hAnsi="Times New Roman" w:cs="Times New Roman"/>
          <w:color w:val="auto"/>
          <w:lang w:val="mk-MK"/>
        </w:rPr>
        <w:t>говорност доколку ВИ систем предизвика штета, ниту пак механизми за заштита на граѓаните од алгоритамска дискриминација.</w:t>
      </w:r>
    </w:p>
    <w:p w14:paraId="49232767" w14:textId="77777777" w:rsidR="00FE200F" w:rsidRDefault="00FE200F">
      <w:pPr>
        <w:jc w:val="both"/>
        <w:rPr>
          <w:rFonts w:ascii="Times New Roman" w:hAnsi="Times New Roman" w:cs="Times New Roman"/>
          <w:color w:val="auto"/>
          <w:lang w:val="mk-MK"/>
        </w:rPr>
      </w:pPr>
    </w:p>
    <w:p w14:paraId="64AB6C9D" w14:textId="77777777" w:rsidR="00FE200F" w:rsidRDefault="00E77CAF">
      <w:pPr>
        <w:pStyle w:val="Heading4"/>
        <w:jc w:val="both"/>
        <w:rPr>
          <w:rFonts w:ascii="Times New Roman" w:hAnsi="Times New Roman" w:cs="Times New Roman"/>
          <w:lang w:val="mk-MK"/>
        </w:rPr>
      </w:pPr>
      <w:r>
        <w:rPr>
          <w:rFonts w:ascii="Times New Roman" w:hAnsi="Times New Roman" w:cs="Times New Roman"/>
          <w:i w:val="0"/>
          <w:iCs w:val="0"/>
          <w:color w:val="auto"/>
          <w:lang w:val="mk-MK"/>
        </w:rPr>
        <w:lastRenderedPageBreak/>
        <w:t>Л2: Итност за усогласување со ЕУ</w:t>
      </w:r>
      <w:r>
        <w:rPr>
          <w:rFonts w:ascii="Times New Roman" w:hAnsi="Times New Roman" w:cs="Times New Roman"/>
          <w:color w:val="auto"/>
          <w:lang w:val="mk-MK"/>
        </w:rPr>
        <w:t xml:space="preserve"> AI Act </w:t>
      </w:r>
      <w:r>
        <w:rPr>
          <w:rFonts w:ascii="Times New Roman" w:hAnsi="Times New Roman" w:cs="Times New Roman"/>
          <w:i w:val="0"/>
          <w:iCs w:val="0"/>
          <w:color w:val="auto"/>
          <w:lang w:val="mk-MK"/>
        </w:rPr>
        <w:t xml:space="preserve">и </w:t>
      </w:r>
      <w:r>
        <w:rPr>
          <w:rFonts w:ascii="Times New Roman" w:hAnsi="Times New Roman" w:cs="Times New Roman"/>
          <w:color w:val="auto"/>
          <w:lang w:val="mk-MK"/>
        </w:rPr>
        <w:t xml:space="preserve">NIS2 </w:t>
      </w:r>
      <w:r>
        <w:rPr>
          <w:rFonts w:ascii="Times New Roman" w:hAnsi="Times New Roman" w:cs="Times New Roman"/>
          <w:i w:val="0"/>
          <w:iCs w:val="0"/>
          <w:color w:val="auto"/>
          <w:lang w:val="mk-MK"/>
        </w:rPr>
        <w:t>директивата</w:t>
      </w:r>
    </w:p>
    <w:p w14:paraId="1F72A6D8"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Европскиот Акт за ВИ стапи на сила во 2024 година. Македонија мора итно да </w:t>
      </w:r>
      <w:r>
        <w:rPr>
          <w:rFonts w:ascii="Times New Roman" w:hAnsi="Times New Roman" w:cs="Times New Roman"/>
          <w:color w:val="auto"/>
          <w:lang w:val="mk-MK"/>
        </w:rPr>
        <w:t xml:space="preserve">започне со транспозиција на оваа комплексна регулатива во националното законодавство. Истовремено, согласно Стратегијата за сајбер-безбедност 2025–2028, потребна е и транспозиција на </w:t>
      </w:r>
      <w:r>
        <w:rPr>
          <w:rFonts w:ascii="Times New Roman" w:hAnsi="Times New Roman" w:cs="Times New Roman"/>
          <w:i/>
          <w:iCs/>
          <w:color w:val="auto"/>
          <w:lang w:val="mk-MK"/>
        </w:rPr>
        <w:t>NIS2</w:t>
      </w:r>
      <w:r>
        <w:rPr>
          <w:rFonts w:ascii="Times New Roman" w:hAnsi="Times New Roman" w:cs="Times New Roman"/>
          <w:color w:val="auto"/>
          <w:lang w:val="mk-MK"/>
        </w:rPr>
        <w:t xml:space="preserve"> директивата (Директива (ЕУ) 2022/2555) за заштита на критичната инфр</w:t>
      </w:r>
      <w:r>
        <w:rPr>
          <w:rFonts w:ascii="Times New Roman" w:hAnsi="Times New Roman" w:cs="Times New Roman"/>
          <w:color w:val="auto"/>
          <w:lang w:val="mk-MK"/>
        </w:rPr>
        <w:t>аструктура, која директно ги засега ВИ системите во енергетиката, здравството и финансиите. Ова бара значителни правни капацитети и формирање на нови регулаторни тела (Национален орган за ВИ, Национален ЦСИРТ) кои моментално не постојат во целосна форма.</w:t>
      </w:r>
    </w:p>
    <w:p w14:paraId="0C775DDA" w14:textId="77777777" w:rsidR="00FE200F" w:rsidRDefault="00FE200F">
      <w:pPr>
        <w:jc w:val="both"/>
        <w:rPr>
          <w:rFonts w:ascii="Times New Roman" w:hAnsi="Times New Roman" w:cs="Times New Roman"/>
          <w:color w:val="auto"/>
          <w:lang w:val="mk-MK"/>
        </w:rPr>
      </w:pPr>
    </w:p>
    <w:p w14:paraId="5A581C35" w14:textId="77777777" w:rsidR="00FE200F" w:rsidRDefault="00E77CAF">
      <w:pPr>
        <w:pStyle w:val="Heading4"/>
        <w:jc w:val="both"/>
        <w:rPr>
          <w:rFonts w:ascii="Times New Roman" w:hAnsi="Times New Roman" w:cs="Times New Roman"/>
          <w:lang w:val="mk-MK"/>
        </w:rPr>
      </w:pPr>
      <w:r>
        <w:rPr>
          <w:rFonts w:ascii="Times New Roman" w:hAnsi="Times New Roman" w:cs="Times New Roman"/>
          <w:i w:val="0"/>
          <w:iCs w:val="0"/>
          <w:color w:val="auto"/>
          <w:lang w:val="mk-MK"/>
        </w:rPr>
        <w:t>Л3: Заштита на лични податоци (ЗЗЛП 2020 и измени 2025)</w:t>
      </w:r>
    </w:p>
    <w:p w14:paraId="013EF6F2"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Законот за заштита на личните податоци (Службен весник на РСМ, бр. 42/2020) претставува клучна правна основа за регулирање на ВИ системите кои обработуваат лични податоци. </w:t>
      </w:r>
      <w:r>
        <w:rPr>
          <w:rFonts w:ascii="Times New Roman" w:hAnsi="Times New Roman" w:cs="Times New Roman"/>
          <w:b/>
          <w:color w:val="auto"/>
          <w:lang w:val="mk-MK"/>
        </w:rPr>
        <w:t>Членот 26</w:t>
      </w:r>
      <w:r>
        <w:rPr>
          <w:rFonts w:ascii="Times New Roman" w:hAnsi="Times New Roman" w:cs="Times New Roman"/>
          <w:color w:val="auto"/>
          <w:lang w:val="mk-MK"/>
        </w:rPr>
        <w:t xml:space="preserve"> го гарантира право</w:t>
      </w:r>
      <w:r>
        <w:rPr>
          <w:rFonts w:ascii="Times New Roman" w:hAnsi="Times New Roman" w:cs="Times New Roman"/>
          <w:color w:val="auto"/>
          <w:lang w:val="mk-MK"/>
        </w:rPr>
        <w:t>то на субјектот да не биде предмет на одлука заснована единствено на автоматизирана обработка — вклучувајќи профилирање — која предизвикува правни последици или значително го засега. Ова директно се применува на ВИ системи во јавниот сектор (автоматизирани</w:t>
      </w:r>
      <w:r>
        <w:rPr>
          <w:rFonts w:ascii="Times New Roman" w:hAnsi="Times New Roman" w:cs="Times New Roman"/>
          <w:color w:val="auto"/>
          <w:lang w:val="mk-MK"/>
        </w:rPr>
        <w:t xml:space="preserve"> одлуки за социјална помош, даноци, итн.). Со измените од мај 2025 година (Службен весник на РСМ, бр. 101/2025), преносот на лични податоци е олеснет кон земјите-членки на НАТО, со директни импликации за меѓународна соработка во областа на одбранбените ВИ </w:t>
      </w:r>
      <w:r>
        <w:rPr>
          <w:rFonts w:ascii="Times New Roman" w:hAnsi="Times New Roman" w:cs="Times New Roman"/>
          <w:color w:val="auto"/>
          <w:lang w:val="mk-MK"/>
        </w:rPr>
        <w:t>системи. Сепак, примената на ЗЗЛП во контекст на ВИ бара дополнителни подзаконски акти и зајакнување на капацитетите на Агенцијата за заштита на личните податоци (АЗЛП).</w:t>
      </w:r>
    </w:p>
    <w:p w14:paraId="679465A6" w14:textId="77777777" w:rsidR="00FE200F" w:rsidRDefault="00FE200F">
      <w:pPr>
        <w:jc w:val="both"/>
        <w:rPr>
          <w:rFonts w:ascii="Times New Roman" w:hAnsi="Times New Roman" w:cs="Times New Roman"/>
          <w:color w:val="auto"/>
          <w:lang w:val="mk-MK"/>
        </w:rPr>
      </w:pPr>
    </w:p>
    <w:p w14:paraId="430C72F0" w14:textId="77777777" w:rsidR="00FE200F" w:rsidRDefault="00E77CAF">
      <w:pPr>
        <w:pStyle w:val="Heading4"/>
        <w:jc w:val="both"/>
        <w:rPr>
          <w:rFonts w:ascii="Times New Roman" w:hAnsi="Times New Roman" w:cs="Times New Roman"/>
          <w:lang w:val="mk-MK"/>
        </w:rPr>
      </w:pPr>
      <w:r>
        <w:rPr>
          <w:rFonts w:ascii="Times New Roman" w:hAnsi="Times New Roman" w:cs="Times New Roman"/>
          <w:i w:val="0"/>
          <w:iCs w:val="0"/>
          <w:color w:val="auto"/>
          <w:lang w:val="mk-MK"/>
        </w:rPr>
        <w:t>Л4: Права од интелектуална сопственост</w:t>
      </w:r>
    </w:p>
    <w:p w14:paraId="4FA23A20"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Користењето на авторски дела за тренирање на В</w:t>
      </w:r>
      <w:r>
        <w:rPr>
          <w:rFonts w:ascii="Times New Roman" w:hAnsi="Times New Roman" w:cs="Times New Roman"/>
          <w:color w:val="auto"/>
          <w:lang w:val="mk-MK"/>
        </w:rPr>
        <w:t>И модели отвора сложени правни прашања поврзани со интелектуалната сопственост. Националното законодавство за авторски права мора да се модернизира за да одговори на предизвиците кои ги носи генеративната вештачка интелигенција.</w:t>
      </w:r>
    </w:p>
    <w:p w14:paraId="1D9CCEC5" w14:textId="77777777" w:rsidR="00FE200F" w:rsidRDefault="00FE200F">
      <w:pPr>
        <w:jc w:val="both"/>
        <w:rPr>
          <w:rFonts w:ascii="Times New Roman" w:hAnsi="Times New Roman" w:cs="Times New Roman"/>
          <w:color w:val="auto"/>
          <w:lang w:val="mk-MK"/>
        </w:rPr>
      </w:pPr>
    </w:p>
    <w:p w14:paraId="23B519AF" w14:textId="77777777" w:rsidR="00FE200F" w:rsidRDefault="00E77CAF">
      <w:pPr>
        <w:pStyle w:val="Heading3"/>
        <w:jc w:val="both"/>
        <w:rPr>
          <w:rFonts w:ascii="Times New Roman" w:hAnsi="Times New Roman" w:cs="Times New Roman"/>
          <w:lang w:val="mk-MK"/>
        </w:rPr>
      </w:pPr>
      <w:bookmarkStart w:id="91" w:name="_Toc240630071"/>
      <w:bookmarkStart w:id="92" w:name="_Toc243908014"/>
      <w:r>
        <w:rPr>
          <w:rFonts w:ascii="Times New Roman" w:hAnsi="Times New Roman" w:cs="Times New Roman"/>
          <w:color w:val="auto"/>
          <w:lang w:val="mk-MK"/>
        </w:rPr>
        <w:t>5.6 Еколошки фактори</w:t>
      </w:r>
      <w:bookmarkEnd w:id="91"/>
      <w:bookmarkEnd w:id="92"/>
    </w:p>
    <w:p w14:paraId="75A7184D" w14:textId="77777777" w:rsidR="00FE200F" w:rsidRDefault="00E77CAF">
      <w:pPr>
        <w:pStyle w:val="Heading4"/>
        <w:jc w:val="both"/>
        <w:rPr>
          <w:rFonts w:ascii="Times New Roman" w:hAnsi="Times New Roman" w:cs="Times New Roman"/>
          <w:lang w:val="mk-MK"/>
        </w:rPr>
      </w:pPr>
      <w:r>
        <w:rPr>
          <w:rFonts w:ascii="Times New Roman" w:hAnsi="Times New Roman" w:cs="Times New Roman"/>
          <w:i w:val="0"/>
          <w:iCs w:val="0"/>
          <w:color w:val="auto"/>
          <w:lang w:val="mk-MK"/>
        </w:rPr>
        <w:t xml:space="preserve">Ен1: </w:t>
      </w:r>
      <w:r>
        <w:rPr>
          <w:rFonts w:ascii="Times New Roman" w:hAnsi="Times New Roman" w:cs="Times New Roman"/>
          <w:i w:val="0"/>
          <w:iCs w:val="0"/>
          <w:color w:val="auto"/>
          <w:lang w:val="mk-MK"/>
        </w:rPr>
        <w:t>Висока потрошувачка на енергија</w:t>
      </w:r>
    </w:p>
    <w:p w14:paraId="265C37FD"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Тренирањето и користењето на големи ВИ модели бара огромни количини на електрична енергија. Во контекст на држава која сè уште се потпира на фосилни горива и се соочува со енергетски предизвици, развојот на ВИ инфраструктура</w:t>
      </w:r>
      <w:r>
        <w:rPr>
          <w:rFonts w:ascii="Times New Roman" w:hAnsi="Times New Roman" w:cs="Times New Roman"/>
          <w:color w:val="auto"/>
          <w:lang w:val="mk-MK"/>
        </w:rPr>
        <w:t xml:space="preserve"> мора да биде тесно поврзан со инвестиции во обновливи извори на енергија.</w:t>
      </w:r>
    </w:p>
    <w:p w14:paraId="3ADC9BAF" w14:textId="77777777" w:rsidR="00FE200F" w:rsidRDefault="00FE200F">
      <w:pPr>
        <w:jc w:val="both"/>
        <w:rPr>
          <w:rFonts w:ascii="Times New Roman" w:hAnsi="Times New Roman" w:cs="Times New Roman"/>
          <w:color w:val="auto"/>
          <w:lang w:val="mk-MK"/>
        </w:rPr>
      </w:pPr>
    </w:p>
    <w:p w14:paraId="3C4D59F2" w14:textId="77777777" w:rsidR="00FE200F" w:rsidRDefault="00E77CAF">
      <w:pPr>
        <w:pStyle w:val="Heading4"/>
        <w:jc w:val="both"/>
        <w:rPr>
          <w:rFonts w:ascii="Times New Roman" w:hAnsi="Times New Roman" w:cs="Times New Roman"/>
          <w:lang w:val="mk-MK"/>
        </w:rPr>
      </w:pPr>
      <w:r>
        <w:rPr>
          <w:rFonts w:ascii="Times New Roman" w:hAnsi="Times New Roman" w:cs="Times New Roman"/>
          <w:i w:val="0"/>
          <w:iCs w:val="0"/>
          <w:color w:val="auto"/>
          <w:lang w:val="mk-MK"/>
        </w:rPr>
        <w:t>Ен2: Проблемот со е-отпад</w:t>
      </w:r>
    </w:p>
    <w:p w14:paraId="7E807CCA"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Брзиот развој на технологијата бара честа замена на хардверот (сервери, процесори). Државата мора да воспостави строги еколошки стандарди и капацитети за </w:t>
      </w:r>
      <w:r>
        <w:rPr>
          <w:rFonts w:ascii="Times New Roman" w:hAnsi="Times New Roman" w:cs="Times New Roman"/>
          <w:color w:val="auto"/>
          <w:lang w:val="mk-MK"/>
        </w:rPr>
        <w:t>рециклирање на електронскиот отпад кој ќе се генерира од развојот на дигиталната инфраструктура.</w:t>
      </w:r>
    </w:p>
    <w:p w14:paraId="22405675" w14:textId="77777777" w:rsidR="00FE200F" w:rsidRDefault="00FE200F">
      <w:pPr>
        <w:jc w:val="both"/>
        <w:rPr>
          <w:rFonts w:ascii="Times New Roman" w:hAnsi="Times New Roman" w:cs="Times New Roman"/>
          <w:color w:val="auto"/>
          <w:lang w:val="mk-MK"/>
        </w:rPr>
      </w:pPr>
    </w:p>
    <w:p w14:paraId="194190C3" w14:textId="77777777" w:rsidR="00FE200F" w:rsidRDefault="00E77CAF">
      <w:pPr>
        <w:pStyle w:val="Heading4"/>
        <w:jc w:val="both"/>
        <w:rPr>
          <w:rFonts w:ascii="Times New Roman" w:hAnsi="Times New Roman" w:cs="Times New Roman"/>
          <w:lang w:val="mk-MK"/>
        </w:rPr>
      </w:pPr>
      <w:r>
        <w:rPr>
          <w:rFonts w:ascii="Times New Roman" w:hAnsi="Times New Roman" w:cs="Times New Roman"/>
          <w:i w:val="0"/>
          <w:iCs w:val="0"/>
          <w:color w:val="auto"/>
          <w:lang w:val="mk-MK"/>
        </w:rPr>
        <w:t>Ен3: ВИ како алатка за зелена транзиција</w:t>
      </w:r>
    </w:p>
    <w:p w14:paraId="035B3C8B"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Од позитивна страна, ВИ нуди моќни алатки за решавање на еколошките проблеми. Алгоритмите можат да се користат за опт</w:t>
      </w:r>
      <w:r>
        <w:rPr>
          <w:rFonts w:ascii="Times New Roman" w:hAnsi="Times New Roman" w:cs="Times New Roman"/>
          <w:color w:val="auto"/>
          <w:lang w:val="mk-MK"/>
        </w:rPr>
        <w:t>имизација на сообраќајот во поголемите градови (намалување на емисиите), паметно управување со водните ресурси и прецизно предвидување на загадувањето на воздухот.</w:t>
      </w:r>
    </w:p>
    <w:p w14:paraId="5E2E60B5" w14:textId="77777777" w:rsidR="00FE200F" w:rsidRDefault="00FE200F">
      <w:pPr>
        <w:jc w:val="both"/>
        <w:rPr>
          <w:rFonts w:ascii="Times New Roman" w:hAnsi="Times New Roman" w:cs="Times New Roman"/>
          <w:color w:val="auto"/>
          <w:lang w:val="mk-MK"/>
        </w:rPr>
      </w:pPr>
    </w:p>
    <w:tbl>
      <w:tblPr>
        <w:tblStyle w:val="GridTable5Dark-Accent5"/>
        <w:tblW w:w="10490" w:type="dxa"/>
        <w:tblInd w:w="-601" w:type="dxa"/>
        <w:shd w:val="clear" w:color="auto" w:fill="DAEEF3"/>
        <w:tblLayout w:type="fixed"/>
        <w:tblLook w:val="04A0" w:firstRow="1" w:lastRow="0" w:firstColumn="1" w:lastColumn="0" w:noHBand="0" w:noVBand="1"/>
      </w:tblPr>
      <w:tblGrid>
        <w:gridCol w:w="1702"/>
        <w:gridCol w:w="3120"/>
        <w:gridCol w:w="2787"/>
        <w:gridCol w:w="2881"/>
      </w:tblGrid>
      <w:tr w:rsidR="00FE200F" w14:paraId="7410FCB1" w14:textId="77777777" w:rsidTr="00FE20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3440F325" w14:textId="77777777" w:rsidR="00FE200F" w:rsidRDefault="00E77CAF">
            <w:pPr>
              <w:rPr>
                <w:rFonts w:ascii="Times New Roman" w:hAnsi="Times New Roman" w:cs="Times New Roman"/>
                <w:lang w:val="mk-MK"/>
              </w:rPr>
            </w:pPr>
            <w:r>
              <w:rPr>
                <w:rFonts w:ascii="Times New Roman" w:hAnsi="Times New Roman" w:cs="Times New Roman"/>
                <w:color w:val="auto"/>
                <w:sz w:val="20"/>
                <w:szCs w:val="20"/>
                <w:lang w:val="mk-MK"/>
              </w:rPr>
              <w:t>Импакт</w:t>
            </w:r>
          </w:p>
        </w:tc>
        <w:tc>
          <w:tcPr>
            <w:tcW w:w="3120" w:type="dxa"/>
            <w:tcBorders>
              <w:bottom w:val="nil"/>
            </w:tcBorders>
          </w:tcPr>
          <w:p w14:paraId="3ABCA1CB" w14:textId="77777777" w:rsidR="00FE200F" w:rsidRDefault="00E77CA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szCs w:val="20"/>
                <w:lang w:val="mk-MK"/>
              </w:rPr>
              <w:t>Трансформација во иновативна економија и ефикасно општество преку ВИ.</w:t>
            </w:r>
          </w:p>
        </w:tc>
        <w:tc>
          <w:tcPr>
            <w:tcW w:w="2787" w:type="dxa"/>
            <w:tcBorders>
              <w:bottom w:val="nil"/>
            </w:tcBorders>
          </w:tcPr>
          <w:p w14:paraId="7197A9EE" w14:textId="77777777" w:rsidR="00FE200F" w:rsidRDefault="00E77CA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szCs w:val="20"/>
                <w:lang w:val="mk-MK"/>
              </w:rPr>
              <w:t xml:space="preserve">Позиција на </w:t>
            </w:r>
            <w:r>
              <w:rPr>
                <w:rFonts w:ascii="Times New Roman" w:hAnsi="Times New Roman" w:cs="Times New Roman"/>
                <w:color w:val="auto"/>
                <w:sz w:val="20"/>
                <w:szCs w:val="20"/>
                <w:lang w:val="mk-MK"/>
              </w:rPr>
              <w:t>Глобалниот иновациски индекс (ГИИ)</w:t>
            </w:r>
          </w:p>
        </w:tc>
        <w:tc>
          <w:tcPr>
            <w:tcW w:w="2881" w:type="dxa"/>
            <w:tcBorders>
              <w:bottom w:val="nil"/>
            </w:tcBorders>
          </w:tcPr>
          <w:p w14:paraId="625F10B6" w14:textId="77777777" w:rsidR="00FE200F" w:rsidRDefault="00E77CA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szCs w:val="20"/>
                <w:lang w:val="mk-MK"/>
              </w:rPr>
              <w:t xml:space="preserve">Извештаи на </w:t>
            </w:r>
            <w:r>
              <w:rPr>
                <w:rFonts w:ascii="Times New Roman" w:hAnsi="Times New Roman" w:cs="Times New Roman"/>
                <w:i/>
                <w:iCs/>
                <w:color w:val="auto"/>
                <w:sz w:val="20"/>
                <w:szCs w:val="20"/>
                <w:lang w:val="mk-MK"/>
              </w:rPr>
              <w:t>WIPO</w:t>
            </w:r>
            <w:r>
              <w:rPr>
                <w:rFonts w:ascii="Times New Roman" w:hAnsi="Times New Roman" w:cs="Times New Roman"/>
                <w:color w:val="auto"/>
                <w:sz w:val="20"/>
                <w:szCs w:val="20"/>
                <w:lang w:val="mk-MK"/>
              </w:rPr>
              <w:br/>
              <w:t>Државен завод за статистика</w:t>
            </w:r>
          </w:p>
        </w:tc>
      </w:tr>
      <w:tr w:rsidR="00FE200F" w14:paraId="22B074EB"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right w:val="nil"/>
            </w:tcBorders>
          </w:tcPr>
          <w:p w14:paraId="4ABB05B1" w14:textId="77777777" w:rsidR="00FE200F" w:rsidRDefault="00E77CAF">
            <w:pPr>
              <w:rPr>
                <w:rFonts w:ascii="Times New Roman" w:hAnsi="Times New Roman" w:cs="Times New Roman"/>
                <w:lang w:val="mk-MK"/>
              </w:rPr>
            </w:pPr>
            <w:r>
              <w:rPr>
                <w:rFonts w:ascii="Times New Roman" w:hAnsi="Times New Roman" w:cs="Times New Roman"/>
                <w:color w:val="auto"/>
                <w:sz w:val="20"/>
                <w:szCs w:val="20"/>
                <w:lang w:val="mk-MK"/>
              </w:rPr>
              <w:t>Исход 1</w:t>
            </w:r>
          </w:p>
        </w:tc>
        <w:tc>
          <w:tcPr>
            <w:tcW w:w="3120" w:type="dxa"/>
          </w:tcPr>
          <w:p w14:paraId="03D626A7"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szCs w:val="20"/>
                <w:lang w:val="mk-MK"/>
              </w:rPr>
              <w:t>Воспоставена безбедна и етичка правна рамка за ВИ.</w:t>
            </w:r>
          </w:p>
        </w:tc>
        <w:tc>
          <w:tcPr>
            <w:tcW w:w="2787" w:type="dxa"/>
          </w:tcPr>
          <w:p w14:paraId="499595DB"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szCs w:val="20"/>
                <w:lang w:val="mk-MK"/>
              </w:rPr>
              <w:t>- Усвоен Закон за ВИ</w:t>
            </w:r>
            <w:r>
              <w:rPr>
                <w:rFonts w:ascii="Times New Roman" w:hAnsi="Times New Roman" w:cs="Times New Roman"/>
                <w:color w:val="auto"/>
                <w:sz w:val="20"/>
                <w:szCs w:val="20"/>
                <w:lang w:val="mk-MK"/>
              </w:rPr>
              <w:br/>
              <w:t>- Формиран Национален орган за ВИ</w:t>
            </w:r>
          </w:p>
        </w:tc>
        <w:tc>
          <w:tcPr>
            <w:tcW w:w="2881" w:type="dxa"/>
          </w:tcPr>
          <w:p w14:paraId="0AA2CD73"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szCs w:val="20"/>
                <w:lang w:val="mk-MK"/>
              </w:rPr>
              <w:t>- Службен весник</w:t>
            </w:r>
            <w:r>
              <w:rPr>
                <w:rFonts w:ascii="Times New Roman" w:hAnsi="Times New Roman" w:cs="Times New Roman"/>
                <w:color w:val="auto"/>
                <w:sz w:val="20"/>
                <w:szCs w:val="20"/>
                <w:lang w:val="mk-MK"/>
              </w:rPr>
              <w:br/>
              <w:t>- Извештаи на ЕК</w:t>
            </w:r>
          </w:p>
        </w:tc>
      </w:tr>
      <w:tr w:rsidR="00FE200F" w14:paraId="1A39E0B3" w14:textId="77777777" w:rsidTr="00FE200F">
        <w:tc>
          <w:tcPr>
            <w:cnfStyle w:val="001000000000" w:firstRow="0" w:lastRow="0" w:firstColumn="1" w:lastColumn="0" w:oddVBand="0" w:evenVBand="0" w:oddHBand="0" w:evenHBand="0" w:firstRowFirstColumn="0" w:firstRowLastColumn="0" w:lastRowFirstColumn="0" w:lastRowLastColumn="0"/>
            <w:tcW w:w="1701" w:type="dxa"/>
            <w:tcBorders>
              <w:right w:val="nil"/>
            </w:tcBorders>
          </w:tcPr>
          <w:p w14:paraId="6682216D" w14:textId="77777777" w:rsidR="00FE200F" w:rsidRDefault="00E77CAF">
            <w:pPr>
              <w:rPr>
                <w:rFonts w:ascii="Times New Roman" w:hAnsi="Times New Roman" w:cs="Times New Roman"/>
                <w:lang w:val="mk-MK"/>
              </w:rPr>
            </w:pPr>
            <w:r>
              <w:rPr>
                <w:rFonts w:ascii="Times New Roman" w:hAnsi="Times New Roman" w:cs="Times New Roman"/>
                <w:color w:val="auto"/>
                <w:sz w:val="20"/>
                <w:szCs w:val="20"/>
                <w:lang w:val="mk-MK"/>
              </w:rPr>
              <w:t>Исход 2</w:t>
            </w:r>
          </w:p>
        </w:tc>
        <w:tc>
          <w:tcPr>
            <w:tcW w:w="3120" w:type="dxa"/>
          </w:tcPr>
          <w:p w14:paraId="29494C6F"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szCs w:val="20"/>
                <w:lang w:val="mk-MK"/>
              </w:rPr>
              <w:t xml:space="preserve">Зголемена примена </w:t>
            </w:r>
            <w:r>
              <w:rPr>
                <w:rFonts w:ascii="Times New Roman" w:hAnsi="Times New Roman" w:cs="Times New Roman"/>
                <w:color w:val="auto"/>
                <w:sz w:val="20"/>
                <w:szCs w:val="20"/>
                <w:lang w:val="mk-MK"/>
              </w:rPr>
              <w:t>на ВИ во приватниот сектор.</w:t>
            </w:r>
          </w:p>
        </w:tc>
        <w:tc>
          <w:tcPr>
            <w:tcW w:w="2787" w:type="dxa"/>
          </w:tcPr>
          <w:p w14:paraId="7C05FF22"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szCs w:val="20"/>
                <w:lang w:val="mk-MK"/>
              </w:rPr>
              <w:t>- Број на МСП кои користат ВИ</w:t>
            </w:r>
          </w:p>
          <w:p w14:paraId="0D19C021"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szCs w:val="20"/>
                <w:lang w:val="mk-MK"/>
              </w:rPr>
              <w:t>- Број на нови ВИ стартапи</w:t>
            </w:r>
          </w:p>
        </w:tc>
        <w:tc>
          <w:tcPr>
            <w:tcW w:w="2881" w:type="dxa"/>
          </w:tcPr>
          <w:p w14:paraId="2FEC605F"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szCs w:val="20"/>
                <w:lang w:val="mk-MK"/>
              </w:rPr>
              <w:t>- Истражувања на МАСИТ</w:t>
            </w:r>
            <w:r>
              <w:rPr>
                <w:rFonts w:ascii="Times New Roman" w:hAnsi="Times New Roman" w:cs="Times New Roman"/>
                <w:color w:val="auto"/>
                <w:sz w:val="20"/>
                <w:szCs w:val="20"/>
                <w:lang w:val="mk-MK"/>
              </w:rPr>
              <w:br/>
              <w:t>- Регистар на ИНОВА</w:t>
            </w:r>
          </w:p>
        </w:tc>
      </w:tr>
      <w:tr w:rsidR="00FE200F" w14:paraId="45A9965D"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right w:val="nil"/>
            </w:tcBorders>
          </w:tcPr>
          <w:p w14:paraId="396DF1BE" w14:textId="77777777" w:rsidR="00FE200F" w:rsidRDefault="00E77CAF">
            <w:pPr>
              <w:rPr>
                <w:rFonts w:ascii="Times New Roman" w:hAnsi="Times New Roman" w:cs="Times New Roman"/>
                <w:lang w:val="mk-MK"/>
              </w:rPr>
            </w:pPr>
            <w:r>
              <w:rPr>
                <w:rFonts w:ascii="Times New Roman" w:hAnsi="Times New Roman" w:cs="Times New Roman"/>
                <w:color w:val="auto"/>
                <w:sz w:val="20"/>
                <w:szCs w:val="20"/>
                <w:lang w:val="mk-MK"/>
              </w:rPr>
              <w:t>Исход 3</w:t>
            </w:r>
          </w:p>
        </w:tc>
        <w:tc>
          <w:tcPr>
            <w:tcW w:w="3120" w:type="dxa"/>
          </w:tcPr>
          <w:p w14:paraId="49DFE123"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szCs w:val="20"/>
                <w:lang w:val="mk-MK"/>
              </w:rPr>
              <w:t>Оптимизирана јавна администрација преку ВИ.</w:t>
            </w:r>
          </w:p>
        </w:tc>
        <w:tc>
          <w:tcPr>
            <w:tcW w:w="2787" w:type="dxa"/>
          </w:tcPr>
          <w:p w14:paraId="2CCCD0C3"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szCs w:val="20"/>
                <w:lang w:val="mk-MK"/>
              </w:rPr>
              <w:t xml:space="preserve">- Број на функционални ВИ сервиси на </w:t>
            </w:r>
            <w:r>
              <w:rPr>
                <w:rFonts w:ascii="Times New Roman" w:hAnsi="Times New Roman" w:cs="Times New Roman"/>
                <w:i/>
                <w:iCs/>
                <w:color w:val="auto"/>
                <w:sz w:val="20"/>
                <w:szCs w:val="20"/>
                <w:lang w:val="mk-MK"/>
              </w:rPr>
              <w:t>e-uslugi.mk</w:t>
            </w:r>
            <w:r>
              <w:rPr>
                <w:rFonts w:ascii="Times New Roman" w:hAnsi="Times New Roman" w:cs="Times New Roman"/>
                <w:color w:val="auto"/>
                <w:sz w:val="20"/>
                <w:szCs w:val="20"/>
                <w:lang w:val="mk-MK"/>
              </w:rPr>
              <w:br/>
              <w:t>- Намалено време за обрабо</w:t>
            </w:r>
            <w:r>
              <w:rPr>
                <w:rFonts w:ascii="Times New Roman" w:hAnsi="Times New Roman" w:cs="Times New Roman"/>
                <w:color w:val="auto"/>
                <w:sz w:val="20"/>
                <w:szCs w:val="20"/>
                <w:lang w:val="mk-MK"/>
              </w:rPr>
              <w:t>тка на барања</w:t>
            </w:r>
          </w:p>
        </w:tc>
        <w:tc>
          <w:tcPr>
            <w:tcW w:w="2881" w:type="dxa"/>
          </w:tcPr>
          <w:p w14:paraId="48718289"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szCs w:val="20"/>
                <w:lang w:val="mk-MK"/>
              </w:rPr>
              <w:t>- Извештаи на МДТ</w:t>
            </w:r>
            <w:r>
              <w:rPr>
                <w:rFonts w:ascii="Times New Roman" w:hAnsi="Times New Roman" w:cs="Times New Roman"/>
                <w:color w:val="auto"/>
                <w:sz w:val="20"/>
                <w:szCs w:val="20"/>
                <w:lang w:val="mk-MK"/>
              </w:rPr>
              <w:br/>
              <w:t>- Ревизорски извештаи</w:t>
            </w:r>
          </w:p>
        </w:tc>
      </w:tr>
      <w:tr w:rsidR="00FE200F" w14:paraId="7DB948F9" w14:textId="77777777" w:rsidTr="00FE200F">
        <w:tc>
          <w:tcPr>
            <w:cnfStyle w:val="001000000000" w:firstRow="0" w:lastRow="0" w:firstColumn="1" w:lastColumn="0" w:oddVBand="0" w:evenVBand="0" w:oddHBand="0" w:evenHBand="0" w:firstRowFirstColumn="0" w:firstRowLastColumn="0" w:lastRowFirstColumn="0" w:lastRowLastColumn="0"/>
            <w:tcW w:w="1701" w:type="dxa"/>
            <w:tcBorders>
              <w:right w:val="nil"/>
            </w:tcBorders>
          </w:tcPr>
          <w:p w14:paraId="15FA4A66" w14:textId="77777777" w:rsidR="00FE200F" w:rsidRDefault="00E77CAF">
            <w:pPr>
              <w:rPr>
                <w:rFonts w:ascii="Times New Roman" w:hAnsi="Times New Roman" w:cs="Times New Roman"/>
                <w:lang w:val="mk-MK"/>
              </w:rPr>
            </w:pPr>
            <w:r>
              <w:rPr>
                <w:rFonts w:ascii="Times New Roman" w:hAnsi="Times New Roman" w:cs="Times New Roman"/>
                <w:color w:val="auto"/>
                <w:sz w:val="20"/>
                <w:szCs w:val="20"/>
                <w:lang w:val="mk-MK"/>
              </w:rPr>
              <w:t>Резултат 1.1</w:t>
            </w:r>
          </w:p>
        </w:tc>
        <w:tc>
          <w:tcPr>
            <w:tcW w:w="3120" w:type="dxa"/>
          </w:tcPr>
          <w:p w14:paraId="3E04F203"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szCs w:val="20"/>
                <w:lang w:val="mk-MK"/>
              </w:rPr>
              <w:t>Изработен нацрт-закон за ВИ усогласен со ЕУ.</w:t>
            </w:r>
          </w:p>
        </w:tc>
        <w:tc>
          <w:tcPr>
            <w:tcW w:w="2787" w:type="dxa"/>
          </w:tcPr>
          <w:p w14:paraId="5EC53774"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szCs w:val="20"/>
                <w:lang w:val="mk-MK"/>
              </w:rPr>
              <w:t>- Нацрт-законот е на ЕНЕР</w:t>
            </w:r>
          </w:p>
        </w:tc>
        <w:tc>
          <w:tcPr>
            <w:tcW w:w="2881" w:type="dxa"/>
          </w:tcPr>
          <w:p w14:paraId="4EED393A"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szCs w:val="20"/>
                <w:lang w:val="mk-MK"/>
              </w:rPr>
              <w:t>- Портал ЕНЕР</w:t>
            </w:r>
          </w:p>
        </w:tc>
      </w:tr>
      <w:tr w:rsidR="00FE200F" w14:paraId="21CB2B99"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right w:val="nil"/>
            </w:tcBorders>
          </w:tcPr>
          <w:p w14:paraId="48316FAB" w14:textId="77777777" w:rsidR="00FE200F" w:rsidRDefault="00E77CAF">
            <w:pPr>
              <w:rPr>
                <w:rFonts w:ascii="Times New Roman" w:hAnsi="Times New Roman" w:cs="Times New Roman"/>
                <w:lang w:val="mk-MK"/>
              </w:rPr>
            </w:pPr>
            <w:r>
              <w:rPr>
                <w:rFonts w:ascii="Times New Roman" w:hAnsi="Times New Roman" w:cs="Times New Roman"/>
                <w:color w:val="auto"/>
                <w:sz w:val="20"/>
                <w:szCs w:val="20"/>
                <w:lang w:val="mk-MK"/>
              </w:rPr>
              <w:t>Резултат 2.1</w:t>
            </w:r>
          </w:p>
        </w:tc>
        <w:tc>
          <w:tcPr>
            <w:tcW w:w="3120" w:type="dxa"/>
          </w:tcPr>
          <w:p w14:paraId="2B95CCA9"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szCs w:val="20"/>
                <w:lang w:val="mk-MK"/>
              </w:rPr>
              <w:t>Обезбедени грантови за ВИ иновации.</w:t>
            </w:r>
          </w:p>
        </w:tc>
        <w:tc>
          <w:tcPr>
            <w:tcW w:w="2787" w:type="dxa"/>
          </w:tcPr>
          <w:p w14:paraId="2CD94B8F"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szCs w:val="20"/>
                <w:lang w:val="mk-MK"/>
              </w:rPr>
              <w:t>- Искористени средства (во ЕУР) за ВИ проекти</w:t>
            </w:r>
          </w:p>
        </w:tc>
        <w:tc>
          <w:tcPr>
            <w:tcW w:w="2881" w:type="dxa"/>
          </w:tcPr>
          <w:p w14:paraId="27347076"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szCs w:val="20"/>
                <w:lang w:val="mk-MK"/>
              </w:rPr>
              <w:t xml:space="preserve">- </w:t>
            </w:r>
            <w:r>
              <w:rPr>
                <w:rFonts w:ascii="Times New Roman" w:hAnsi="Times New Roman" w:cs="Times New Roman"/>
                <w:color w:val="auto"/>
                <w:sz w:val="20"/>
                <w:szCs w:val="20"/>
                <w:lang w:val="mk-MK"/>
              </w:rPr>
              <w:t>Годишен извештај на ИНОВА</w:t>
            </w:r>
          </w:p>
        </w:tc>
      </w:tr>
      <w:tr w:rsidR="00FE200F" w14:paraId="6642A3F1" w14:textId="77777777" w:rsidTr="00FE200F">
        <w:tc>
          <w:tcPr>
            <w:cnfStyle w:val="001000000000" w:firstRow="0" w:lastRow="0" w:firstColumn="1" w:lastColumn="0" w:oddVBand="0" w:evenVBand="0" w:oddHBand="0" w:evenHBand="0" w:firstRowFirstColumn="0" w:firstRowLastColumn="0" w:lastRowFirstColumn="0" w:lastRowLastColumn="0"/>
            <w:tcW w:w="1701" w:type="dxa"/>
            <w:tcBorders>
              <w:right w:val="nil"/>
            </w:tcBorders>
          </w:tcPr>
          <w:p w14:paraId="0A544010" w14:textId="77777777" w:rsidR="00FE200F" w:rsidRDefault="00E77CAF">
            <w:pPr>
              <w:rPr>
                <w:rFonts w:ascii="Times New Roman" w:hAnsi="Times New Roman" w:cs="Times New Roman"/>
                <w:lang w:val="mk-MK"/>
              </w:rPr>
            </w:pPr>
            <w:r>
              <w:rPr>
                <w:rFonts w:ascii="Times New Roman" w:hAnsi="Times New Roman" w:cs="Times New Roman"/>
                <w:color w:val="auto"/>
                <w:sz w:val="20"/>
                <w:szCs w:val="20"/>
                <w:lang w:val="mk-MK"/>
              </w:rPr>
              <w:t>Резултат 3.1</w:t>
            </w:r>
          </w:p>
        </w:tc>
        <w:tc>
          <w:tcPr>
            <w:tcW w:w="3120" w:type="dxa"/>
          </w:tcPr>
          <w:p w14:paraId="5D2A511F"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szCs w:val="20"/>
                <w:lang w:val="mk-MK"/>
              </w:rPr>
              <w:t>Отворени државни датасетови за машинско учење.</w:t>
            </w:r>
          </w:p>
        </w:tc>
        <w:tc>
          <w:tcPr>
            <w:tcW w:w="2787" w:type="dxa"/>
          </w:tcPr>
          <w:p w14:paraId="3B76EBA7"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szCs w:val="20"/>
                <w:lang w:val="mk-MK"/>
              </w:rPr>
              <w:t xml:space="preserve">- Број на нови датасетови на </w:t>
            </w:r>
            <w:r>
              <w:rPr>
                <w:rFonts w:ascii="Times New Roman" w:hAnsi="Times New Roman" w:cs="Times New Roman"/>
                <w:i/>
                <w:iCs/>
                <w:color w:val="auto"/>
                <w:sz w:val="20"/>
                <w:szCs w:val="20"/>
                <w:lang w:val="mk-MK"/>
              </w:rPr>
              <w:t>data.gov.mk</w:t>
            </w:r>
          </w:p>
        </w:tc>
        <w:tc>
          <w:tcPr>
            <w:tcW w:w="2881" w:type="dxa"/>
          </w:tcPr>
          <w:p w14:paraId="5C3B33E4" w14:textId="77777777" w:rsidR="00FE200F" w:rsidRDefault="00E77C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szCs w:val="20"/>
                <w:lang w:val="mk-MK"/>
              </w:rPr>
              <w:t>- Портал за отворени податоци</w:t>
            </w:r>
          </w:p>
        </w:tc>
      </w:tr>
      <w:tr w:rsidR="00FE200F" w14:paraId="53E7CDFD"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right w:val="nil"/>
            </w:tcBorders>
          </w:tcPr>
          <w:p w14:paraId="259846E5" w14:textId="77777777" w:rsidR="00FE200F" w:rsidRDefault="00E77CAF">
            <w:pPr>
              <w:rPr>
                <w:rFonts w:ascii="Times New Roman" w:hAnsi="Times New Roman" w:cs="Times New Roman"/>
                <w:lang w:val="mk-MK"/>
              </w:rPr>
            </w:pPr>
            <w:r>
              <w:rPr>
                <w:rFonts w:ascii="Times New Roman" w:hAnsi="Times New Roman" w:cs="Times New Roman"/>
                <w:color w:val="auto"/>
                <w:sz w:val="20"/>
                <w:szCs w:val="20"/>
                <w:lang w:val="mk-MK"/>
              </w:rPr>
              <w:t>Резултат 4.1</w:t>
            </w:r>
          </w:p>
        </w:tc>
        <w:tc>
          <w:tcPr>
            <w:tcW w:w="3120" w:type="dxa"/>
          </w:tcPr>
          <w:p w14:paraId="5DE479B5"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szCs w:val="20"/>
                <w:lang w:val="mk-MK"/>
              </w:rPr>
              <w:t>Обучен кадар за ВИ.</w:t>
            </w:r>
          </w:p>
        </w:tc>
        <w:tc>
          <w:tcPr>
            <w:tcW w:w="2787" w:type="dxa"/>
          </w:tcPr>
          <w:p w14:paraId="211E0FA3"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lang w:val="mk-MK"/>
              </w:rPr>
            </w:pPr>
            <w:r>
              <w:rPr>
                <w:rFonts w:ascii="Times New Roman" w:hAnsi="Times New Roman" w:cs="Times New Roman"/>
                <w:color w:val="auto"/>
                <w:sz w:val="20"/>
                <w:szCs w:val="20"/>
                <w:lang w:val="mk-MK"/>
              </w:rPr>
              <w:t xml:space="preserve">- Број на студенти запишани на ВИ програми и/или запишани </w:t>
            </w:r>
            <w:r>
              <w:rPr>
                <w:rFonts w:ascii="Times New Roman" w:hAnsi="Times New Roman" w:cs="Times New Roman"/>
                <w:color w:val="auto"/>
                <w:sz w:val="20"/>
                <w:szCs w:val="20"/>
                <w:lang w:val="mk-MK"/>
              </w:rPr>
              <w:t>предмети за ВИ</w:t>
            </w:r>
          </w:p>
          <w:p w14:paraId="194AB5DC"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szCs w:val="20"/>
                <w:lang w:val="mk-MK"/>
              </w:rPr>
              <w:t>-</w:t>
            </w:r>
            <w:r>
              <w:t xml:space="preserve"> </w:t>
            </w:r>
            <w:r>
              <w:rPr>
                <w:rFonts w:ascii="Times New Roman" w:hAnsi="Times New Roman" w:cs="Times New Roman"/>
                <w:color w:val="auto"/>
                <w:sz w:val="20"/>
                <w:szCs w:val="20"/>
                <w:lang w:val="mk-MK"/>
              </w:rPr>
              <w:t>Број на</w:t>
            </w:r>
            <w:r>
              <w:rPr>
                <w:lang w:val="mk-MK"/>
              </w:rPr>
              <w:t xml:space="preserve"> </w:t>
            </w:r>
            <w:r>
              <w:rPr>
                <w:rFonts w:ascii="Times New Roman" w:hAnsi="Times New Roman" w:cs="Times New Roman"/>
                <w:color w:val="auto"/>
                <w:sz w:val="20"/>
                <w:szCs w:val="20"/>
                <w:lang w:val="mk-MK"/>
              </w:rPr>
              <w:t>обучен наставен кадар од основно и средно</w:t>
            </w:r>
            <w:r>
              <w:rPr>
                <w:rFonts w:ascii="Times New Roman" w:hAnsi="Times New Roman" w:cs="Times New Roman"/>
                <w:color w:val="auto"/>
                <w:sz w:val="20"/>
                <w:szCs w:val="20"/>
                <w:lang w:val="mk-MK"/>
              </w:rPr>
              <w:br/>
              <w:t>- Број на преквалификувани работници</w:t>
            </w:r>
          </w:p>
        </w:tc>
        <w:tc>
          <w:tcPr>
            <w:tcW w:w="2881" w:type="dxa"/>
          </w:tcPr>
          <w:p w14:paraId="622F8400" w14:textId="77777777" w:rsidR="00FE200F" w:rsidRDefault="00E77C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sz w:val="20"/>
                <w:szCs w:val="20"/>
                <w:lang w:val="mk-MK"/>
              </w:rPr>
              <w:t>- Извештаи на МОН</w:t>
            </w:r>
            <w:r>
              <w:rPr>
                <w:rFonts w:ascii="Times New Roman" w:hAnsi="Times New Roman" w:cs="Times New Roman"/>
                <w:color w:val="auto"/>
                <w:sz w:val="20"/>
                <w:szCs w:val="20"/>
                <w:lang w:val="mk-MK"/>
              </w:rPr>
              <w:br/>
              <w:t>- Агенција за вработување</w:t>
            </w:r>
          </w:p>
        </w:tc>
      </w:tr>
    </w:tbl>
    <w:p w14:paraId="7ED64284" w14:textId="77777777" w:rsidR="00FE200F" w:rsidRDefault="00FE200F">
      <w:pPr>
        <w:spacing w:after="200" w:line="276" w:lineRule="auto"/>
        <w:rPr>
          <w:rFonts w:ascii="Times New Roman" w:eastAsiaTheme="majorEastAsia" w:hAnsi="Times New Roman" w:cs="Times New Roman"/>
          <w:b/>
          <w:bCs/>
          <w:color w:val="auto"/>
          <w:sz w:val="28"/>
          <w:szCs w:val="26"/>
          <w:lang w:val="mk-MK"/>
        </w:rPr>
      </w:pPr>
    </w:p>
    <w:p w14:paraId="7CC2B976" w14:textId="77777777" w:rsidR="00FE200F" w:rsidRDefault="00E77CAF">
      <w:pPr>
        <w:pStyle w:val="Heading2"/>
        <w:jc w:val="center"/>
        <w:rPr>
          <w:rFonts w:ascii="Times New Roman" w:hAnsi="Times New Roman" w:cs="Times New Roman"/>
          <w:lang w:val="mk-MK"/>
        </w:rPr>
      </w:pPr>
      <w:bookmarkStart w:id="93" w:name="_Toc240630072"/>
      <w:bookmarkStart w:id="94" w:name="_Toc243908015"/>
      <w:r>
        <w:rPr>
          <w:rFonts w:ascii="Times New Roman" w:hAnsi="Times New Roman" w:cs="Times New Roman"/>
        </w:rPr>
        <w:t>ПРИОРИТЕТНИ ОБЛАСТИ</w:t>
      </w:r>
      <w:bookmarkEnd w:id="93"/>
      <w:bookmarkEnd w:id="94"/>
    </w:p>
    <w:p w14:paraId="5551D947" w14:textId="77777777" w:rsidR="00FE200F" w:rsidRDefault="00E77CAF">
      <w:pPr>
        <w:jc w:val="both"/>
        <w:rPr>
          <w:rFonts w:ascii="Times New Roman" w:hAnsi="Times New Roman" w:cs="Times New Roman"/>
          <w:lang w:val="mk-MK"/>
        </w:rPr>
      </w:pPr>
      <w:r>
        <w:rPr>
          <w:rFonts w:ascii="Times New Roman" w:hAnsi="Times New Roman" w:cs="Times New Roman"/>
        </w:rPr>
        <w:t xml:space="preserve">Изборот на петте приоритетни области произлегува директно од дијагностиката на тековната состојба, SWOT и PESTLE анализите и од споредбата со меѓународно применливата рамка Oxford Insights Government AI Readiness Index (GARI). Тие не се </w:t>
      </w:r>
      <w:r>
        <w:rPr>
          <w:rFonts w:ascii="Times New Roman" w:hAnsi="Times New Roman" w:cs="Times New Roman"/>
        </w:rPr>
        <w:lastRenderedPageBreak/>
        <w:t>избрани како одделн</w:t>
      </w:r>
      <w:r>
        <w:rPr>
          <w:rFonts w:ascii="Times New Roman" w:hAnsi="Times New Roman" w:cs="Times New Roman"/>
        </w:rPr>
        <w:t>и тематски сектори, туку како меѓусебно поврзан систем на интервенции што ги адресира клучните слабости и закани, ги активира утврдените можности и ги насочува постојните капацитети кон мерливи резултати.</w:t>
      </w:r>
    </w:p>
    <w:p w14:paraId="40096AE9" w14:textId="77777777" w:rsidR="00FE200F" w:rsidRDefault="00E77CAF">
      <w:pPr>
        <w:jc w:val="both"/>
        <w:rPr>
          <w:rFonts w:ascii="Times New Roman" w:hAnsi="Times New Roman" w:cs="Times New Roman"/>
          <w:lang w:val="mk-MK"/>
        </w:rPr>
      </w:pPr>
      <w:r>
        <w:rPr>
          <w:rFonts w:ascii="Times New Roman" w:hAnsi="Times New Roman" w:cs="Times New Roman"/>
        </w:rPr>
        <w:t>При изборот се применети четири критериуми. Прво, с</w:t>
      </w:r>
      <w:r>
        <w:rPr>
          <w:rFonts w:ascii="Times New Roman" w:hAnsi="Times New Roman" w:cs="Times New Roman"/>
        </w:rPr>
        <w:t>екоја област мора да одговори на најмалку една системска бариера идентификувана во анализата на состојбата. Второ, мора да има јасен придонес кон Теоријата на промена и да може да се претвори во мерки, активности, носители и показатели. Трето, областите мо</w:t>
      </w:r>
      <w:r>
        <w:rPr>
          <w:rFonts w:ascii="Times New Roman" w:hAnsi="Times New Roman" w:cs="Times New Roman"/>
        </w:rPr>
        <w:t>ра да ги покријат релевантните GARI димензии, особено управувањето, јавните услуги, развојот и ширењето на ВИ, дигиталниот капацитет и ВИ инфраструктурата. Четврто, тие треба да бидат усогласени со евроинтеграциските обврски, Националната развојна стратеги</w:t>
      </w:r>
      <w:r>
        <w:rPr>
          <w:rFonts w:ascii="Times New Roman" w:hAnsi="Times New Roman" w:cs="Times New Roman"/>
        </w:rPr>
        <w:t>ја 2024–2044 и СМАРТ/МК:2030.</w:t>
      </w:r>
    </w:p>
    <w:p w14:paraId="4457389F" w14:textId="77777777" w:rsidR="00FE200F" w:rsidRDefault="00E77CAF">
      <w:pPr>
        <w:jc w:val="both"/>
        <w:rPr>
          <w:rFonts w:ascii="Times New Roman" w:hAnsi="Times New Roman" w:cs="Times New Roman"/>
          <w:lang w:val="mk-MK"/>
        </w:rPr>
      </w:pPr>
      <w:r>
        <w:rPr>
          <w:rFonts w:ascii="Times New Roman" w:hAnsi="Times New Roman" w:cs="Times New Roman"/>
        </w:rPr>
        <w:t>Од ова произлегува следната логика: правната и етичката рамка создава доверба и правила; јавниот сектор ја претвора ВИ во подобри јавни услуги; податоците и инфраструктурата обезбедуваат техничка основа; образованието и наукат</w:t>
      </w:r>
      <w:r>
        <w:rPr>
          <w:rFonts w:ascii="Times New Roman" w:hAnsi="Times New Roman" w:cs="Times New Roman"/>
        </w:rPr>
        <w:t>а создаваат кадар и знаење; а економијата ги шири решенијата во МСП, индустријата и иновацискиот екосистем. Областите се преклопуваат таму каде што проблемите се системски, но секоја има јасна примарна одговорност за да се избегнат празнини и дуплирање.</w:t>
      </w:r>
    </w:p>
    <w:tbl>
      <w:tblPr>
        <w:tblW w:w="9360" w:type="dxa"/>
        <w:tblLayout w:type="fixed"/>
        <w:tblLook w:val="04A0" w:firstRow="1" w:lastRow="0" w:firstColumn="1" w:lastColumn="0" w:noHBand="0" w:noVBand="1"/>
      </w:tblPr>
      <w:tblGrid>
        <w:gridCol w:w="2197"/>
        <w:gridCol w:w="4300"/>
        <w:gridCol w:w="2863"/>
      </w:tblGrid>
      <w:tr w:rsidR="00FE200F" w14:paraId="6C351AAA" w14:textId="77777777">
        <w:trPr>
          <w:cantSplit/>
          <w:tblHeader/>
        </w:trPr>
        <w:tc>
          <w:tcPr>
            <w:tcW w:w="2197" w:type="dxa"/>
            <w:tcBorders>
              <w:top w:val="single" w:sz="6" w:space="0" w:color="FFFFFF"/>
              <w:left w:val="single" w:sz="6" w:space="0" w:color="FFFFFF"/>
              <w:bottom w:val="single" w:sz="6" w:space="0" w:color="FFFFFF"/>
              <w:right w:val="single" w:sz="6" w:space="0" w:color="FFFFFF"/>
            </w:tcBorders>
            <w:shd w:val="clear" w:color="auto" w:fill="4F81BD"/>
          </w:tcPr>
          <w:p w14:paraId="61240CA4" w14:textId="77777777" w:rsidR="00FE200F" w:rsidRDefault="00E77CAF">
            <w:pPr>
              <w:spacing w:after="40"/>
              <w:rPr>
                <w:rFonts w:ascii="Times New Roman" w:hAnsi="Times New Roman" w:cs="Times New Roman"/>
              </w:rPr>
            </w:pPr>
            <w:r>
              <w:rPr>
                <w:rFonts w:ascii="Times New Roman" w:hAnsi="Times New Roman" w:cs="Times New Roman"/>
                <w:b/>
                <w:color w:val="FFFFFF"/>
                <w:sz w:val="17"/>
              </w:rPr>
              <w:t>Пр</w:t>
            </w:r>
            <w:r>
              <w:rPr>
                <w:rFonts w:ascii="Times New Roman" w:hAnsi="Times New Roman" w:cs="Times New Roman"/>
                <w:b/>
                <w:color w:val="FFFFFF"/>
                <w:sz w:val="17"/>
              </w:rPr>
              <w:t>иоритетна област</w:t>
            </w:r>
          </w:p>
        </w:tc>
        <w:tc>
          <w:tcPr>
            <w:tcW w:w="4300" w:type="dxa"/>
            <w:tcBorders>
              <w:top w:val="single" w:sz="6" w:space="0" w:color="FFFFFF"/>
              <w:left w:val="single" w:sz="6" w:space="0" w:color="FFFFFF"/>
              <w:bottom w:val="single" w:sz="6" w:space="0" w:color="FFFFFF"/>
              <w:right w:val="single" w:sz="6" w:space="0" w:color="FFFFFF"/>
            </w:tcBorders>
            <w:shd w:val="clear" w:color="auto" w:fill="4F81BD"/>
          </w:tcPr>
          <w:p w14:paraId="3F05EA76" w14:textId="77777777" w:rsidR="00FE200F" w:rsidRDefault="00E77CAF">
            <w:pPr>
              <w:spacing w:after="40"/>
              <w:rPr>
                <w:rFonts w:ascii="Times New Roman" w:hAnsi="Times New Roman" w:cs="Times New Roman"/>
              </w:rPr>
            </w:pPr>
            <w:r>
              <w:rPr>
                <w:rFonts w:ascii="Times New Roman" w:hAnsi="Times New Roman" w:cs="Times New Roman"/>
                <w:b/>
                <w:color w:val="FFFFFF"/>
                <w:sz w:val="17"/>
              </w:rPr>
              <w:t>Поврзаност со анализата на состојбата, SWOT и PESTLE</w:t>
            </w:r>
          </w:p>
        </w:tc>
        <w:tc>
          <w:tcPr>
            <w:tcW w:w="2863" w:type="dxa"/>
            <w:tcBorders>
              <w:top w:val="single" w:sz="6" w:space="0" w:color="FFFFFF"/>
              <w:left w:val="single" w:sz="6" w:space="0" w:color="FFFFFF"/>
              <w:bottom w:val="single" w:sz="6" w:space="0" w:color="FFFFFF"/>
              <w:right w:val="single" w:sz="6" w:space="0" w:color="FFFFFF"/>
            </w:tcBorders>
            <w:shd w:val="clear" w:color="auto" w:fill="4F81BD"/>
          </w:tcPr>
          <w:p w14:paraId="61008682" w14:textId="77777777" w:rsidR="00FE200F" w:rsidRDefault="00E77CAF">
            <w:pPr>
              <w:spacing w:after="40"/>
              <w:rPr>
                <w:rFonts w:ascii="Times New Roman" w:hAnsi="Times New Roman" w:cs="Times New Roman"/>
              </w:rPr>
            </w:pPr>
            <w:r>
              <w:rPr>
                <w:rFonts w:ascii="Times New Roman" w:hAnsi="Times New Roman" w:cs="Times New Roman"/>
                <w:b/>
                <w:color w:val="FFFFFF"/>
                <w:sz w:val="17"/>
              </w:rPr>
              <w:t>GARI и стратешка функција</w:t>
            </w:r>
          </w:p>
        </w:tc>
      </w:tr>
      <w:tr w:rsidR="00FE200F" w14:paraId="64A711B3" w14:textId="77777777">
        <w:trPr>
          <w:cantSplit/>
        </w:trPr>
        <w:tc>
          <w:tcPr>
            <w:tcW w:w="2197" w:type="dxa"/>
            <w:tcBorders>
              <w:top w:val="single" w:sz="6" w:space="0" w:color="FFFFFF"/>
              <w:left w:val="single" w:sz="6" w:space="0" w:color="FFFFFF"/>
              <w:bottom w:val="single" w:sz="6" w:space="0" w:color="FFFFFF"/>
              <w:right w:val="single" w:sz="6" w:space="0" w:color="FFFFFF"/>
            </w:tcBorders>
            <w:shd w:val="clear" w:color="auto" w:fill="D9EAF7"/>
          </w:tcPr>
          <w:p w14:paraId="4C4CEC1C" w14:textId="77777777" w:rsidR="00FE200F" w:rsidRDefault="00E77CAF">
            <w:pPr>
              <w:spacing w:after="40"/>
              <w:rPr>
                <w:rFonts w:ascii="Times New Roman" w:hAnsi="Times New Roman" w:cs="Times New Roman"/>
              </w:rPr>
            </w:pPr>
            <w:r>
              <w:rPr>
                <w:rFonts w:ascii="Times New Roman" w:hAnsi="Times New Roman" w:cs="Times New Roman"/>
                <w:b/>
                <w:color w:val="000000"/>
                <w:sz w:val="17"/>
              </w:rPr>
              <w:t>1. Јавен сектор</w:t>
            </w:r>
          </w:p>
        </w:tc>
        <w:tc>
          <w:tcPr>
            <w:tcW w:w="4300" w:type="dxa"/>
            <w:tcBorders>
              <w:top w:val="single" w:sz="6" w:space="0" w:color="FFFFFF"/>
              <w:left w:val="single" w:sz="6" w:space="0" w:color="FFFFFF"/>
              <w:bottom w:val="single" w:sz="6" w:space="0" w:color="FFFFFF"/>
              <w:right w:val="single" w:sz="6" w:space="0" w:color="FFFFFF"/>
            </w:tcBorders>
            <w:shd w:val="clear" w:color="auto" w:fill="D9EAF7"/>
          </w:tcPr>
          <w:p w14:paraId="3E0ACDDB" w14:textId="77777777" w:rsidR="00FE200F" w:rsidRDefault="00E77CAF">
            <w:pPr>
              <w:spacing w:after="40"/>
              <w:rPr>
                <w:rFonts w:ascii="Times New Roman" w:hAnsi="Times New Roman" w:cs="Times New Roman"/>
              </w:rPr>
            </w:pPr>
            <w:r>
              <w:rPr>
                <w:rFonts w:ascii="Times New Roman" w:hAnsi="Times New Roman" w:cs="Times New Roman"/>
                <w:color w:val="000000"/>
                <w:sz w:val="17"/>
              </w:rPr>
              <w:t xml:space="preserve">SWOT укажа на институционална фрагментација, недоволна координација и ограничена дигитална зрелост. PESTLE ја потврди потребата од подобри </w:t>
            </w:r>
            <w:r>
              <w:rPr>
                <w:rFonts w:ascii="Times New Roman" w:hAnsi="Times New Roman" w:cs="Times New Roman"/>
                <w:color w:val="000000"/>
                <w:sz w:val="17"/>
              </w:rPr>
              <w:t>јавни услуги, транспарентност и отпорно управување.</w:t>
            </w:r>
          </w:p>
        </w:tc>
        <w:tc>
          <w:tcPr>
            <w:tcW w:w="2863" w:type="dxa"/>
            <w:tcBorders>
              <w:top w:val="single" w:sz="6" w:space="0" w:color="FFFFFF"/>
              <w:left w:val="single" w:sz="6" w:space="0" w:color="FFFFFF"/>
              <w:bottom w:val="single" w:sz="6" w:space="0" w:color="FFFFFF"/>
              <w:right w:val="single" w:sz="6" w:space="0" w:color="FFFFFF"/>
            </w:tcBorders>
            <w:shd w:val="clear" w:color="auto" w:fill="D9EAF7"/>
          </w:tcPr>
          <w:p w14:paraId="3F8822AD" w14:textId="77777777" w:rsidR="00FE200F" w:rsidRDefault="00E77CAF">
            <w:pPr>
              <w:spacing w:after="40"/>
              <w:rPr>
                <w:rFonts w:ascii="Times New Roman" w:hAnsi="Times New Roman" w:cs="Times New Roman"/>
              </w:rPr>
            </w:pPr>
            <w:r>
              <w:rPr>
                <w:rFonts w:ascii="Times New Roman" w:hAnsi="Times New Roman" w:cs="Times New Roman"/>
                <w:color w:val="000000"/>
                <w:sz w:val="17"/>
              </w:rPr>
              <w:t>GARI: Governance и Government Services. Фокус: дигитални услуги со ВИ, ефикасност и квалитет.</w:t>
            </w:r>
          </w:p>
        </w:tc>
      </w:tr>
      <w:tr w:rsidR="00FE200F" w14:paraId="4B476C88" w14:textId="77777777">
        <w:trPr>
          <w:cantSplit/>
        </w:trPr>
        <w:tc>
          <w:tcPr>
            <w:tcW w:w="2197" w:type="dxa"/>
            <w:tcBorders>
              <w:top w:val="single" w:sz="6" w:space="0" w:color="FFFFFF"/>
              <w:left w:val="single" w:sz="6" w:space="0" w:color="FFFFFF"/>
              <w:bottom w:val="single" w:sz="6" w:space="0" w:color="FFFFFF"/>
              <w:right w:val="single" w:sz="6" w:space="0" w:color="FFFFFF"/>
            </w:tcBorders>
            <w:shd w:val="clear" w:color="auto" w:fill="EEF5FB"/>
          </w:tcPr>
          <w:p w14:paraId="785EEB79" w14:textId="77777777" w:rsidR="00FE200F" w:rsidRDefault="00E77CAF">
            <w:pPr>
              <w:spacing w:after="40"/>
              <w:rPr>
                <w:rFonts w:ascii="Times New Roman" w:hAnsi="Times New Roman" w:cs="Times New Roman"/>
                <w:lang w:val="mk-MK"/>
              </w:rPr>
            </w:pPr>
            <w:r>
              <w:rPr>
                <w:rFonts w:ascii="Times New Roman" w:hAnsi="Times New Roman" w:cs="Times New Roman"/>
                <w:b/>
                <w:color w:val="000000"/>
                <w:sz w:val="17"/>
              </w:rPr>
              <w:t>2. Економија</w:t>
            </w:r>
            <w:r>
              <w:rPr>
                <w:rFonts w:ascii="Times New Roman" w:hAnsi="Times New Roman" w:cs="Times New Roman"/>
                <w:b/>
                <w:color w:val="000000"/>
                <w:sz w:val="17"/>
                <w:lang w:val="mk-MK"/>
              </w:rPr>
              <w:t xml:space="preserve"> и иновации</w:t>
            </w:r>
          </w:p>
        </w:tc>
        <w:tc>
          <w:tcPr>
            <w:tcW w:w="4300" w:type="dxa"/>
            <w:tcBorders>
              <w:top w:val="single" w:sz="6" w:space="0" w:color="FFFFFF"/>
              <w:left w:val="single" w:sz="6" w:space="0" w:color="FFFFFF"/>
              <w:bottom w:val="single" w:sz="6" w:space="0" w:color="FFFFFF"/>
              <w:right w:val="single" w:sz="6" w:space="0" w:color="FFFFFF"/>
            </w:tcBorders>
            <w:shd w:val="clear" w:color="auto" w:fill="EEF5FB"/>
          </w:tcPr>
          <w:p w14:paraId="6C7C6CED" w14:textId="77777777" w:rsidR="00FE200F" w:rsidRDefault="00E77CAF">
            <w:pPr>
              <w:spacing w:after="40"/>
              <w:rPr>
                <w:rFonts w:ascii="Times New Roman" w:hAnsi="Times New Roman" w:cs="Times New Roman"/>
              </w:rPr>
            </w:pPr>
            <w:r>
              <w:rPr>
                <w:rFonts w:ascii="Times New Roman" w:hAnsi="Times New Roman" w:cs="Times New Roman"/>
                <w:color w:val="000000"/>
                <w:sz w:val="17"/>
              </w:rPr>
              <w:t xml:space="preserve">SWOT ги истакна растот на ИКТ секторот и потенцијалот на стартапите, но и </w:t>
            </w:r>
            <w:r>
              <w:rPr>
                <w:rFonts w:ascii="Times New Roman" w:hAnsi="Times New Roman" w:cs="Times New Roman"/>
                <w:color w:val="000000"/>
                <w:sz w:val="17"/>
              </w:rPr>
              <w:t>ограничениот пристап до капитал, недоволната примена на ВИ во МСП и јазот во продуктивноста. PESTLE ги нагласи економските и трудовите промени.</w:t>
            </w:r>
          </w:p>
        </w:tc>
        <w:tc>
          <w:tcPr>
            <w:tcW w:w="2863" w:type="dxa"/>
            <w:tcBorders>
              <w:top w:val="single" w:sz="6" w:space="0" w:color="FFFFFF"/>
              <w:left w:val="single" w:sz="6" w:space="0" w:color="FFFFFF"/>
              <w:bottom w:val="single" w:sz="6" w:space="0" w:color="FFFFFF"/>
              <w:right w:val="single" w:sz="6" w:space="0" w:color="FFFFFF"/>
            </w:tcBorders>
            <w:shd w:val="clear" w:color="auto" w:fill="EEF5FB"/>
          </w:tcPr>
          <w:p w14:paraId="7C6BB68E" w14:textId="77777777" w:rsidR="00FE200F" w:rsidRDefault="00E77CAF">
            <w:pPr>
              <w:spacing w:after="40"/>
              <w:rPr>
                <w:rFonts w:ascii="Times New Roman" w:hAnsi="Times New Roman" w:cs="Times New Roman"/>
              </w:rPr>
            </w:pPr>
            <w:r>
              <w:rPr>
                <w:rFonts w:ascii="Times New Roman" w:hAnsi="Times New Roman" w:cs="Times New Roman"/>
                <w:color w:val="000000"/>
                <w:sz w:val="17"/>
              </w:rPr>
              <w:t>GARI: Development &amp; Diffusion и Digital Capacity. Фокус: продуктивност, МСП, индустриски ВИ решенија и иновации.</w:t>
            </w:r>
          </w:p>
        </w:tc>
      </w:tr>
      <w:tr w:rsidR="00FE200F" w14:paraId="35AAB606" w14:textId="77777777">
        <w:trPr>
          <w:cantSplit/>
        </w:trPr>
        <w:tc>
          <w:tcPr>
            <w:tcW w:w="2197" w:type="dxa"/>
            <w:tcBorders>
              <w:top w:val="single" w:sz="6" w:space="0" w:color="FFFFFF"/>
              <w:left w:val="single" w:sz="6" w:space="0" w:color="FFFFFF"/>
              <w:bottom w:val="single" w:sz="6" w:space="0" w:color="FFFFFF"/>
              <w:right w:val="single" w:sz="6" w:space="0" w:color="FFFFFF"/>
            </w:tcBorders>
            <w:shd w:val="clear" w:color="auto" w:fill="D9EAF7"/>
          </w:tcPr>
          <w:p w14:paraId="0E1B7C7E" w14:textId="77777777" w:rsidR="00FE200F" w:rsidRDefault="00E77CAF">
            <w:pPr>
              <w:spacing w:after="40"/>
              <w:rPr>
                <w:rFonts w:ascii="Times New Roman" w:hAnsi="Times New Roman" w:cs="Times New Roman"/>
                <w:lang w:val="mk-MK"/>
              </w:rPr>
            </w:pPr>
            <w:r>
              <w:rPr>
                <w:rFonts w:ascii="Times New Roman" w:hAnsi="Times New Roman" w:cs="Times New Roman"/>
                <w:b/>
                <w:color w:val="000000"/>
                <w:sz w:val="17"/>
              </w:rPr>
              <w:t xml:space="preserve">3. Образование, наука </w:t>
            </w:r>
            <w:r>
              <w:rPr>
                <w:rFonts w:ascii="Times New Roman" w:hAnsi="Times New Roman" w:cs="Times New Roman"/>
                <w:b/>
                <w:color w:val="000000"/>
                <w:sz w:val="17"/>
                <w:lang w:val="mk-MK"/>
              </w:rPr>
              <w:t>и истражување</w:t>
            </w:r>
          </w:p>
        </w:tc>
        <w:tc>
          <w:tcPr>
            <w:tcW w:w="4300" w:type="dxa"/>
            <w:tcBorders>
              <w:top w:val="single" w:sz="6" w:space="0" w:color="FFFFFF"/>
              <w:left w:val="single" w:sz="6" w:space="0" w:color="FFFFFF"/>
              <w:bottom w:val="single" w:sz="6" w:space="0" w:color="FFFFFF"/>
              <w:right w:val="single" w:sz="6" w:space="0" w:color="FFFFFF"/>
            </w:tcBorders>
            <w:shd w:val="clear" w:color="auto" w:fill="D9EAF7"/>
          </w:tcPr>
          <w:p w14:paraId="4F83B481" w14:textId="77777777" w:rsidR="00FE200F" w:rsidRDefault="00E77CAF">
            <w:pPr>
              <w:spacing w:after="40"/>
              <w:rPr>
                <w:rFonts w:ascii="Times New Roman" w:hAnsi="Times New Roman" w:cs="Times New Roman"/>
              </w:rPr>
            </w:pPr>
            <w:r>
              <w:rPr>
                <w:rFonts w:ascii="Times New Roman" w:hAnsi="Times New Roman" w:cs="Times New Roman"/>
                <w:color w:val="000000"/>
                <w:sz w:val="17"/>
              </w:rPr>
              <w:t xml:space="preserve">SWOT ги идентификуваше недостигот на компетенции, одливот на кадар и ограничениот истражувачки капацитет. PESTLE ги поврза со демографските, социјалните и технолошките промени, како и со потребата од јазични </w:t>
            </w:r>
            <w:r>
              <w:rPr>
                <w:rFonts w:ascii="Times New Roman" w:hAnsi="Times New Roman" w:cs="Times New Roman"/>
                <w:color w:val="000000"/>
                <w:sz w:val="17"/>
              </w:rPr>
              <w:t>технологии.</w:t>
            </w:r>
          </w:p>
        </w:tc>
        <w:tc>
          <w:tcPr>
            <w:tcW w:w="2863" w:type="dxa"/>
            <w:tcBorders>
              <w:top w:val="single" w:sz="6" w:space="0" w:color="FFFFFF"/>
              <w:left w:val="single" w:sz="6" w:space="0" w:color="FFFFFF"/>
              <w:bottom w:val="single" w:sz="6" w:space="0" w:color="FFFFFF"/>
              <w:right w:val="single" w:sz="6" w:space="0" w:color="FFFFFF"/>
            </w:tcBorders>
            <w:shd w:val="clear" w:color="auto" w:fill="D9EAF7"/>
          </w:tcPr>
          <w:p w14:paraId="0AB0A4B0" w14:textId="77777777" w:rsidR="00FE200F" w:rsidRDefault="00E77CAF">
            <w:pPr>
              <w:spacing w:after="40"/>
              <w:rPr>
                <w:rFonts w:ascii="Times New Roman" w:hAnsi="Times New Roman" w:cs="Times New Roman"/>
              </w:rPr>
            </w:pPr>
            <w:r>
              <w:rPr>
                <w:rFonts w:ascii="Times New Roman" w:hAnsi="Times New Roman" w:cs="Times New Roman"/>
                <w:color w:val="000000"/>
                <w:sz w:val="17"/>
              </w:rPr>
              <w:t>GARI: Development &amp; Diffusion и Digital Capacity. Фокус: компетенции, истражување и јазични технологии.</w:t>
            </w:r>
          </w:p>
        </w:tc>
      </w:tr>
      <w:tr w:rsidR="00FE200F" w14:paraId="38C6AF44" w14:textId="77777777">
        <w:trPr>
          <w:cantSplit/>
        </w:trPr>
        <w:tc>
          <w:tcPr>
            <w:tcW w:w="2197" w:type="dxa"/>
            <w:tcBorders>
              <w:top w:val="single" w:sz="6" w:space="0" w:color="FFFFFF"/>
              <w:left w:val="single" w:sz="6" w:space="0" w:color="FFFFFF"/>
              <w:bottom w:val="single" w:sz="6" w:space="0" w:color="FFFFFF"/>
              <w:right w:val="single" w:sz="6" w:space="0" w:color="FFFFFF"/>
            </w:tcBorders>
            <w:shd w:val="clear" w:color="auto" w:fill="EEF5FB"/>
          </w:tcPr>
          <w:p w14:paraId="7115E5F5" w14:textId="77777777" w:rsidR="00FE200F" w:rsidRDefault="00E77CAF">
            <w:pPr>
              <w:spacing w:after="40"/>
              <w:rPr>
                <w:rFonts w:ascii="Times New Roman" w:hAnsi="Times New Roman" w:cs="Times New Roman"/>
              </w:rPr>
            </w:pPr>
            <w:r>
              <w:rPr>
                <w:rFonts w:ascii="Times New Roman" w:hAnsi="Times New Roman" w:cs="Times New Roman"/>
                <w:b/>
                <w:color w:val="000000"/>
                <w:sz w:val="17"/>
              </w:rPr>
              <w:t>4. Податоци и инфраструктура</w:t>
            </w:r>
          </w:p>
        </w:tc>
        <w:tc>
          <w:tcPr>
            <w:tcW w:w="4300" w:type="dxa"/>
            <w:tcBorders>
              <w:top w:val="single" w:sz="6" w:space="0" w:color="FFFFFF"/>
              <w:left w:val="single" w:sz="6" w:space="0" w:color="FFFFFF"/>
              <w:bottom w:val="single" w:sz="6" w:space="0" w:color="FFFFFF"/>
              <w:right w:val="single" w:sz="6" w:space="0" w:color="FFFFFF"/>
            </w:tcBorders>
            <w:shd w:val="clear" w:color="auto" w:fill="EEF5FB"/>
          </w:tcPr>
          <w:p w14:paraId="7023E9C7" w14:textId="77777777" w:rsidR="00FE200F" w:rsidRDefault="00E77CAF">
            <w:pPr>
              <w:spacing w:after="40"/>
              <w:rPr>
                <w:rFonts w:ascii="Times New Roman" w:hAnsi="Times New Roman" w:cs="Times New Roman"/>
              </w:rPr>
            </w:pPr>
            <w:r>
              <w:rPr>
                <w:rFonts w:ascii="Times New Roman" w:hAnsi="Times New Roman" w:cs="Times New Roman"/>
                <w:color w:val="000000"/>
                <w:sz w:val="17"/>
              </w:rPr>
              <w:t>SWOT покажа фрагментирани и нестандардизирани податоци, недоволна интероперабилност и ограничен HPC капацитет.</w:t>
            </w:r>
            <w:r>
              <w:rPr>
                <w:rFonts w:ascii="Times New Roman" w:hAnsi="Times New Roman" w:cs="Times New Roman"/>
                <w:color w:val="000000"/>
                <w:sz w:val="17"/>
              </w:rPr>
              <w:t xml:space="preserve"> PESTLE ги додаде технолошките, сајбер-безбедносните и еколошките услови за одржлива инфраструктура.</w:t>
            </w:r>
          </w:p>
        </w:tc>
        <w:tc>
          <w:tcPr>
            <w:tcW w:w="2863" w:type="dxa"/>
            <w:tcBorders>
              <w:top w:val="single" w:sz="6" w:space="0" w:color="FFFFFF"/>
              <w:left w:val="single" w:sz="6" w:space="0" w:color="FFFFFF"/>
              <w:bottom w:val="single" w:sz="6" w:space="0" w:color="FFFFFF"/>
              <w:right w:val="single" w:sz="6" w:space="0" w:color="FFFFFF"/>
            </w:tcBorders>
            <w:shd w:val="clear" w:color="auto" w:fill="EEF5FB"/>
          </w:tcPr>
          <w:p w14:paraId="2CCC6836" w14:textId="77777777" w:rsidR="00FE200F" w:rsidRDefault="00E77CAF">
            <w:pPr>
              <w:spacing w:after="40"/>
              <w:rPr>
                <w:rFonts w:ascii="Times New Roman" w:hAnsi="Times New Roman" w:cs="Times New Roman"/>
              </w:rPr>
            </w:pPr>
            <w:r>
              <w:rPr>
                <w:rFonts w:ascii="Times New Roman" w:hAnsi="Times New Roman" w:cs="Times New Roman"/>
                <w:color w:val="000000"/>
                <w:sz w:val="17"/>
              </w:rPr>
              <w:t>GARI: AI Infrastructure и Digital Capacity. Фокус: отворени податоци, квалитет, стандарди, облак и HPC.</w:t>
            </w:r>
          </w:p>
        </w:tc>
      </w:tr>
      <w:tr w:rsidR="00FE200F" w14:paraId="4ADD6009" w14:textId="77777777">
        <w:trPr>
          <w:cantSplit/>
        </w:trPr>
        <w:tc>
          <w:tcPr>
            <w:tcW w:w="2197" w:type="dxa"/>
            <w:tcBorders>
              <w:top w:val="single" w:sz="6" w:space="0" w:color="FFFFFF"/>
              <w:left w:val="single" w:sz="6" w:space="0" w:color="FFFFFF"/>
              <w:bottom w:val="single" w:sz="6" w:space="0" w:color="FFFFFF"/>
              <w:right w:val="single" w:sz="6" w:space="0" w:color="FFFFFF"/>
            </w:tcBorders>
            <w:shd w:val="clear" w:color="auto" w:fill="D9EAF7"/>
          </w:tcPr>
          <w:p w14:paraId="393EA0C4" w14:textId="77777777" w:rsidR="00FE200F" w:rsidRDefault="00E77CAF">
            <w:pPr>
              <w:spacing w:after="40"/>
              <w:rPr>
                <w:rFonts w:ascii="Times New Roman" w:hAnsi="Times New Roman" w:cs="Times New Roman"/>
              </w:rPr>
            </w:pPr>
            <w:r>
              <w:rPr>
                <w:rFonts w:ascii="Times New Roman" w:hAnsi="Times New Roman" w:cs="Times New Roman"/>
                <w:b/>
                <w:color w:val="000000"/>
                <w:sz w:val="17"/>
              </w:rPr>
              <w:t>5. Правна и етичка рамка</w:t>
            </w:r>
          </w:p>
        </w:tc>
        <w:tc>
          <w:tcPr>
            <w:tcW w:w="4300" w:type="dxa"/>
            <w:tcBorders>
              <w:top w:val="single" w:sz="6" w:space="0" w:color="FFFFFF"/>
              <w:left w:val="single" w:sz="6" w:space="0" w:color="FFFFFF"/>
              <w:bottom w:val="single" w:sz="6" w:space="0" w:color="FFFFFF"/>
              <w:right w:val="single" w:sz="6" w:space="0" w:color="FFFFFF"/>
            </w:tcBorders>
            <w:shd w:val="clear" w:color="auto" w:fill="D9EAF7"/>
          </w:tcPr>
          <w:p w14:paraId="32AA499C" w14:textId="77777777" w:rsidR="00FE200F" w:rsidRDefault="00E77CAF">
            <w:pPr>
              <w:spacing w:after="40"/>
              <w:rPr>
                <w:rFonts w:ascii="Times New Roman" w:hAnsi="Times New Roman" w:cs="Times New Roman"/>
              </w:rPr>
            </w:pPr>
            <w:r>
              <w:rPr>
                <w:rFonts w:ascii="Times New Roman" w:hAnsi="Times New Roman" w:cs="Times New Roman"/>
                <w:color w:val="000000"/>
                <w:sz w:val="17"/>
              </w:rPr>
              <w:t>Најголемата закана во SWO</w:t>
            </w:r>
            <w:r>
              <w:rPr>
                <w:rFonts w:ascii="Times New Roman" w:hAnsi="Times New Roman" w:cs="Times New Roman"/>
                <w:color w:val="000000"/>
                <w:sz w:val="17"/>
              </w:rPr>
              <w:t>T/PESTLE е регулаторниот вакуум, заедно со ризиците за приватноста, основните права, одговорноста и сајбер-безбедноста. ЕУ интеграцијата бара усогласување со EU AI Act и поврзаните правила.</w:t>
            </w:r>
          </w:p>
        </w:tc>
        <w:tc>
          <w:tcPr>
            <w:tcW w:w="2863" w:type="dxa"/>
            <w:tcBorders>
              <w:top w:val="single" w:sz="6" w:space="0" w:color="FFFFFF"/>
              <w:left w:val="single" w:sz="6" w:space="0" w:color="FFFFFF"/>
              <w:bottom w:val="single" w:sz="6" w:space="0" w:color="FFFFFF"/>
              <w:right w:val="single" w:sz="6" w:space="0" w:color="FFFFFF"/>
            </w:tcBorders>
            <w:shd w:val="clear" w:color="auto" w:fill="D9EAF7"/>
          </w:tcPr>
          <w:p w14:paraId="49D6A74F" w14:textId="77777777" w:rsidR="00FE200F" w:rsidRDefault="00E77CAF">
            <w:pPr>
              <w:spacing w:after="40"/>
              <w:rPr>
                <w:rFonts w:ascii="Times New Roman" w:hAnsi="Times New Roman" w:cs="Times New Roman"/>
              </w:rPr>
            </w:pPr>
            <w:r>
              <w:rPr>
                <w:rFonts w:ascii="Times New Roman" w:hAnsi="Times New Roman" w:cs="Times New Roman"/>
                <w:color w:val="000000"/>
                <w:sz w:val="17"/>
              </w:rPr>
              <w:t xml:space="preserve">GARI: Policy Capacity и Governance. Фокус: усогласување со ЕУ, </w:t>
            </w:r>
            <w:r>
              <w:rPr>
                <w:rFonts w:ascii="Times New Roman" w:hAnsi="Times New Roman" w:cs="Times New Roman"/>
                <w:color w:val="000000"/>
                <w:sz w:val="17"/>
              </w:rPr>
              <w:t>основни права, надзор и одговорност.</w:t>
            </w:r>
          </w:p>
        </w:tc>
      </w:tr>
    </w:tbl>
    <w:p w14:paraId="29BA070C" w14:textId="77777777" w:rsidR="00FE200F" w:rsidRPr="009C2D42" w:rsidRDefault="00E77CAF">
      <w:pPr>
        <w:jc w:val="both"/>
        <w:rPr>
          <w:rFonts w:ascii="Times New Roman" w:hAnsi="Times New Roman" w:cs="Times New Roman"/>
          <w:color w:val="auto"/>
          <w:lang w:val="mk-MK"/>
        </w:rPr>
      </w:pPr>
      <w:r>
        <w:rPr>
          <w:rFonts w:ascii="Times New Roman" w:hAnsi="Times New Roman" w:cs="Times New Roman"/>
        </w:rPr>
        <w:lastRenderedPageBreak/>
        <w:t xml:space="preserve">Овие пет области ја претвораат аналитичката дијагноза во управлива стратешка </w:t>
      </w:r>
      <w:r w:rsidRPr="009C2D42">
        <w:rPr>
          <w:rFonts w:ascii="Times New Roman" w:hAnsi="Times New Roman" w:cs="Times New Roman"/>
          <w:color w:val="auto"/>
          <w:lang w:val="mk-MK"/>
        </w:rPr>
        <w:t>архитектура. Секоја мерка во Акцискиот план е поврзана со една примарна област, додека мерките со хоризонтален карактер се поврзуваат со пове</w:t>
      </w:r>
      <w:r w:rsidRPr="009C2D42">
        <w:rPr>
          <w:rFonts w:ascii="Times New Roman" w:hAnsi="Times New Roman" w:cs="Times New Roman"/>
          <w:color w:val="auto"/>
          <w:lang w:val="mk-MK"/>
        </w:rPr>
        <w:t>ќе области преку податоците, кадарот, регулативата или институционалната координација. На тој начин SWOT и PESTLE не остануваат опис на состојбата, туку стануваат основа за избор на интервенции и за распределба на одговорноста.</w:t>
      </w:r>
    </w:p>
    <w:p w14:paraId="60AD1FAA" w14:textId="77777777" w:rsidR="00FE200F" w:rsidRPr="009C2D42" w:rsidRDefault="00E77CAF">
      <w:pPr>
        <w:jc w:val="both"/>
        <w:rPr>
          <w:rFonts w:ascii="Times New Roman" w:hAnsi="Times New Roman" w:cs="Times New Roman"/>
          <w:color w:val="auto"/>
          <w:lang w:val="mk-MK"/>
        </w:rPr>
      </w:pPr>
      <w:r w:rsidRPr="009C2D42">
        <w:rPr>
          <w:rFonts w:ascii="Times New Roman" w:hAnsi="Times New Roman" w:cs="Times New Roman"/>
          <w:color w:val="auto"/>
          <w:lang w:val="mk-MK"/>
        </w:rPr>
        <w:t>GARI се користи како надворе</w:t>
      </w:r>
      <w:r w:rsidRPr="009C2D42">
        <w:rPr>
          <w:rFonts w:ascii="Times New Roman" w:hAnsi="Times New Roman" w:cs="Times New Roman"/>
          <w:color w:val="auto"/>
          <w:lang w:val="mk-MK"/>
        </w:rPr>
        <w:t xml:space="preserve">шно споредлив мониторинг-слој, а не како единствен критериум за избор. Неговите димензии помагаат да се провери дали приоритетните области ги покриваат и институционалната подготвеност и практичната способност за испорака. Затоа, областите се следат преку </w:t>
      </w:r>
      <w:r w:rsidRPr="009C2D42">
        <w:rPr>
          <w:rFonts w:ascii="Times New Roman" w:hAnsi="Times New Roman" w:cs="Times New Roman"/>
          <w:color w:val="auto"/>
          <w:lang w:val="mk-MK"/>
        </w:rPr>
        <w:t>комбинација од GARI показатели, национални резултатни показатели и показатели на мерките во Акцискиот план.</w:t>
      </w:r>
    </w:p>
    <w:p w14:paraId="6CA4A176" w14:textId="77777777" w:rsidR="00FE200F" w:rsidRDefault="00E77CAF">
      <w:pPr>
        <w:pStyle w:val="Heading2"/>
        <w:jc w:val="center"/>
        <w:rPr>
          <w:rFonts w:ascii="Times New Roman" w:hAnsi="Times New Roman" w:cs="Times New Roman"/>
          <w:lang w:val="mk-MK"/>
        </w:rPr>
      </w:pPr>
      <w:bookmarkStart w:id="95" w:name="_Toc240630073"/>
      <w:bookmarkStart w:id="96" w:name="_Toc243908016"/>
      <w:r>
        <w:rPr>
          <w:rFonts w:ascii="Times New Roman" w:hAnsi="Times New Roman" w:cs="Times New Roman"/>
          <w:color w:val="auto"/>
          <w:sz w:val="24"/>
          <w:szCs w:val="24"/>
          <w:lang w:val="mk-MK"/>
        </w:rPr>
        <w:t>6. ТЕОРИЈА НА ПРОМЕНА (</w:t>
      </w:r>
      <w:r>
        <w:rPr>
          <w:rFonts w:ascii="Times New Roman" w:hAnsi="Times New Roman" w:cs="Times New Roman"/>
          <w:i/>
          <w:iCs/>
          <w:color w:val="auto"/>
          <w:sz w:val="24"/>
          <w:szCs w:val="24"/>
          <w:lang w:val="mk-MK"/>
        </w:rPr>
        <w:t>Theory of Change</w:t>
      </w:r>
      <w:r>
        <w:rPr>
          <w:rFonts w:ascii="Times New Roman" w:hAnsi="Times New Roman" w:cs="Times New Roman"/>
          <w:color w:val="auto"/>
          <w:sz w:val="24"/>
          <w:szCs w:val="24"/>
          <w:lang w:val="mk-MK"/>
        </w:rPr>
        <w:t>)</w:t>
      </w:r>
      <w:bookmarkEnd w:id="95"/>
      <w:bookmarkEnd w:id="96"/>
    </w:p>
    <w:p w14:paraId="02D30A81"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Теоријата на промена (</w:t>
      </w:r>
      <w:r>
        <w:rPr>
          <w:rFonts w:ascii="Times New Roman" w:hAnsi="Times New Roman" w:cs="Times New Roman"/>
          <w:i/>
          <w:iCs/>
          <w:color w:val="auto"/>
          <w:lang w:val="mk-MK"/>
        </w:rPr>
        <w:t>ToC</w:t>
      </w:r>
      <w:r>
        <w:rPr>
          <w:rFonts w:ascii="Times New Roman" w:hAnsi="Times New Roman" w:cs="Times New Roman"/>
          <w:color w:val="auto"/>
          <w:lang w:val="mk-MK"/>
        </w:rPr>
        <w:t xml:space="preserve">) е аналитичка рамка која ги поврзува тековната состојба со посакуваната иднина преку јасно дефинирани каузални врски. За разлика од логичката рамка која ги документира влезните и излезните податоци, </w:t>
      </w:r>
      <w:r>
        <w:rPr>
          <w:rFonts w:ascii="Times New Roman" w:hAnsi="Times New Roman" w:cs="Times New Roman"/>
          <w:i/>
          <w:iCs/>
          <w:color w:val="auto"/>
          <w:lang w:val="mk-MK"/>
        </w:rPr>
        <w:t>ToC</w:t>
      </w:r>
      <w:r>
        <w:rPr>
          <w:rFonts w:ascii="Times New Roman" w:hAnsi="Times New Roman" w:cs="Times New Roman"/>
          <w:color w:val="auto"/>
          <w:lang w:val="mk-MK"/>
        </w:rPr>
        <w:t xml:space="preserve"> одговара на фундаменталното прашање: </w:t>
      </w:r>
      <w:r>
        <w:rPr>
          <w:rFonts w:ascii="Times New Roman" w:hAnsi="Times New Roman" w:cs="Times New Roman"/>
          <w:b/>
          <w:color w:val="auto"/>
          <w:lang w:val="mk-MK"/>
        </w:rPr>
        <w:t>„Зошто веруваме</w:t>
      </w:r>
      <w:r>
        <w:rPr>
          <w:rFonts w:ascii="Times New Roman" w:hAnsi="Times New Roman" w:cs="Times New Roman"/>
          <w:b/>
          <w:color w:val="auto"/>
          <w:lang w:val="mk-MK"/>
        </w:rPr>
        <w:t xml:space="preserve"> дека предложените интервенции ќе доведат до посакуваната промена?“</w:t>
      </w:r>
      <w:r>
        <w:rPr>
          <w:rFonts w:ascii="Times New Roman" w:hAnsi="Times New Roman" w:cs="Times New Roman"/>
          <w:color w:val="auto"/>
          <w:lang w:val="mk-MK"/>
        </w:rPr>
        <w:t xml:space="preserve"> Оваа секција ги артикулира основните претпоставки, механизмите на промена и патеката преку која Стратегијата за употреба на ВИ 2027-2032 ќе ги трансформира системските бариери во одржливи </w:t>
      </w:r>
      <w:r>
        <w:rPr>
          <w:rFonts w:ascii="Times New Roman" w:hAnsi="Times New Roman" w:cs="Times New Roman"/>
          <w:color w:val="auto"/>
          <w:lang w:val="mk-MK"/>
        </w:rPr>
        <w:t>резултати.</w:t>
      </w:r>
    </w:p>
    <w:p w14:paraId="7546BA39" w14:textId="77777777" w:rsidR="00FE200F" w:rsidRDefault="00FE200F">
      <w:pPr>
        <w:jc w:val="both"/>
        <w:rPr>
          <w:rFonts w:ascii="Times New Roman" w:hAnsi="Times New Roman" w:cs="Times New Roman"/>
          <w:color w:val="auto"/>
          <w:lang w:val="mk-MK"/>
        </w:rPr>
      </w:pPr>
    </w:p>
    <w:p w14:paraId="356301DD" w14:textId="77777777" w:rsidR="00FE200F" w:rsidRDefault="00E77CAF">
      <w:pPr>
        <w:pStyle w:val="Heading3"/>
        <w:jc w:val="both"/>
        <w:rPr>
          <w:rFonts w:ascii="Times New Roman" w:hAnsi="Times New Roman" w:cs="Times New Roman"/>
          <w:lang w:val="mk-MK"/>
        </w:rPr>
      </w:pPr>
      <w:bookmarkStart w:id="97" w:name="_Toc240630074"/>
      <w:bookmarkStart w:id="98" w:name="_Toc243908017"/>
      <w:r>
        <w:rPr>
          <w:rFonts w:ascii="Times New Roman" w:hAnsi="Times New Roman" w:cs="Times New Roman"/>
          <w:color w:val="auto"/>
          <w:lang w:val="mk-MK"/>
        </w:rPr>
        <w:t>6.1 Дефиниција на проблемот и анализа на коренски причини</w:t>
      </w:r>
      <w:bookmarkEnd w:id="97"/>
      <w:bookmarkEnd w:id="98"/>
    </w:p>
    <w:p w14:paraId="324B4DEF" w14:textId="77777777" w:rsidR="00FE200F" w:rsidRDefault="00E77CAF">
      <w:pPr>
        <w:pStyle w:val="Heading4"/>
        <w:jc w:val="both"/>
        <w:rPr>
          <w:rFonts w:ascii="Times New Roman" w:hAnsi="Times New Roman" w:cs="Times New Roman"/>
          <w:lang w:val="mk-MK"/>
        </w:rPr>
      </w:pPr>
      <w:r>
        <w:rPr>
          <w:rFonts w:ascii="Times New Roman" w:hAnsi="Times New Roman" w:cs="Times New Roman"/>
          <w:i w:val="0"/>
          <w:iCs w:val="0"/>
          <w:color w:val="auto"/>
          <w:lang w:val="mk-MK"/>
        </w:rPr>
        <w:t>Тековната состојба: Системски неуспех, не технолошки</w:t>
      </w:r>
    </w:p>
    <w:p w14:paraId="0DF98AB7"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Во периодот 2018–2023 преку Фондот за иновации и технолошки развој се кофинансирани 48 проекти со елементи на ВИ, со вкупна проектна </w:t>
      </w:r>
      <w:r>
        <w:rPr>
          <w:rFonts w:ascii="Times New Roman" w:hAnsi="Times New Roman" w:cs="Times New Roman"/>
          <w:color w:val="auto"/>
          <w:lang w:val="mk-MK"/>
        </w:rPr>
        <w:t xml:space="preserve">вредност од 6.110.044 евра и кофинансирање од 4.343.161 евра; до датумот на ревизорскиот извештај ниту еден од нив не бил имплементиран во јавниот сектор. Ова не е само технолошки проблем, туку укажува на системски слабости во подготовката, управувањето и </w:t>
      </w:r>
      <w:r>
        <w:rPr>
          <w:rFonts w:ascii="Times New Roman" w:hAnsi="Times New Roman" w:cs="Times New Roman"/>
          <w:color w:val="auto"/>
          <w:lang w:val="mk-MK"/>
        </w:rPr>
        <w:t>следењето на јавните ВИ иницијативи.</w:t>
      </w:r>
    </w:p>
    <w:p w14:paraId="394B4D7F" w14:textId="77777777" w:rsidR="00FE200F" w:rsidRDefault="00FE200F">
      <w:pPr>
        <w:pStyle w:val="Heading4"/>
        <w:jc w:val="both"/>
        <w:rPr>
          <w:rFonts w:ascii="Times New Roman" w:hAnsi="Times New Roman" w:cs="Times New Roman"/>
          <w:i w:val="0"/>
          <w:iCs w:val="0"/>
          <w:color w:val="auto"/>
          <w:lang w:val="mk-MK"/>
        </w:rPr>
      </w:pPr>
    </w:p>
    <w:p w14:paraId="18E8D1C3" w14:textId="77777777" w:rsidR="00FE200F" w:rsidRDefault="00E77CAF">
      <w:pPr>
        <w:pStyle w:val="Heading4"/>
        <w:jc w:val="both"/>
        <w:rPr>
          <w:rFonts w:ascii="Times New Roman" w:hAnsi="Times New Roman" w:cs="Times New Roman"/>
          <w:lang w:val="mk-MK"/>
        </w:rPr>
      </w:pPr>
      <w:r>
        <w:rPr>
          <w:rFonts w:ascii="Times New Roman" w:hAnsi="Times New Roman" w:cs="Times New Roman"/>
          <w:i w:val="0"/>
          <w:iCs w:val="0"/>
          <w:color w:val="auto"/>
          <w:lang w:val="mk-MK"/>
        </w:rPr>
        <w:t>Анализа на коренски причини</w:t>
      </w:r>
    </w:p>
    <w:p w14:paraId="36C3EA66"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Длабинската анализа идентификува </w:t>
      </w:r>
      <w:r>
        <w:rPr>
          <w:rFonts w:ascii="Times New Roman" w:hAnsi="Times New Roman" w:cs="Times New Roman"/>
          <w:b/>
          <w:color w:val="auto"/>
          <w:lang w:val="mk-MK"/>
        </w:rPr>
        <w:t>четири меѓусебно поврзани системски бариери</w:t>
      </w:r>
      <w:r>
        <w:rPr>
          <w:rFonts w:ascii="Times New Roman" w:hAnsi="Times New Roman" w:cs="Times New Roman"/>
          <w:color w:val="auto"/>
          <w:lang w:val="mk-MK"/>
        </w:rPr>
        <w:t xml:space="preserve"> кои заедно го блокираат развојот на ВИ екосистемот:</w:t>
      </w:r>
    </w:p>
    <w:p w14:paraId="15042C9D" w14:textId="77777777" w:rsidR="00FE200F" w:rsidRDefault="00E77CAF">
      <w:pPr>
        <w:pStyle w:val="Heading4"/>
        <w:jc w:val="both"/>
        <w:rPr>
          <w:rFonts w:ascii="Times New Roman" w:hAnsi="Times New Roman" w:cs="Times New Roman"/>
          <w:lang w:val="mk-MK"/>
        </w:rPr>
      </w:pPr>
      <w:r>
        <w:rPr>
          <w:rFonts w:ascii="Times New Roman" w:hAnsi="Times New Roman" w:cs="Times New Roman"/>
          <w:i w:val="0"/>
          <w:iCs w:val="0"/>
          <w:color w:val="auto"/>
          <w:lang w:val="mk-MK"/>
        </w:rPr>
        <w:t>Бариера 1: Регулаторен вакуум</w:t>
      </w:r>
    </w:p>
    <w:p w14:paraId="5C30498B"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Отсуството на Закон за ВИ и спе</w:t>
      </w:r>
      <w:r>
        <w:rPr>
          <w:rFonts w:ascii="Times New Roman" w:hAnsi="Times New Roman" w:cs="Times New Roman"/>
          <w:color w:val="auto"/>
          <w:lang w:val="mk-MK"/>
        </w:rPr>
        <w:t>цифична регулаторна рамка создава правна несигурност за сите чинители. Компаниите не знаат кои ВИ системи се дозволени, институциите немаат мандат за надзор, а граѓаните немаат механизми за заштита. Овој вакуум е директна причина за воздржаноста на странск</w:t>
      </w:r>
      <w:r>
        <w:rPr>
          <w:rFonts w:ascii="Times New Roman" w:hAnsi="Times New Roman" w:cs="Times New Roman"/>
          <w:color w:val="auto"/>
          <w:lang w:val="mk-MK"/>
        </w:rPr>
        <w:t>ите инвеститори и за неможноста за имплементација на ВИ во чувствителни јавни услуги (здравство, правосудство, социјална заштита). Без регулаторна рамка, секоја ВИ иницијатива е изложена на политички и правен ризик кој ја прави неодржлива.</w:t>
      </w:r>
    </w:p>
    <w:p w14:paraId="4382306A" w14:textId="77777777" w:rsidR="00FE200F" w:rsidRDefault="00E77CAF">
      <w:pPr>
        <w:pStyle w:val="Heading4"/>
        <w:jc w:val="both"/>
        <w:rPr>
          <w:rFonts w:ascii="Times New Roman" w:hAnsi="Times New Roman" w:cs="Times New Roman"/>
          <w:lang w:val="mk-MK"/>
        </w:rPr>
      </w:pPr>
      <w:r>
        <w:rPr>
          <w:rFonts w:ascii="Times New Roman" w:hAnsi="Times New Roman" w:cs="Times New Roman"/>
          <w:i w:val="0"/>
          <w:iCs w:val="0"/>
          <w:color w:val="auto"/>
          <w:lang w:val="mk-MK"/>
        </w:rPr>
        <w:lastRenderedPageBreak/>
        <w:t>Бариера 2: Инсти</w:t>
      </w:r>
      <w:r>
        <w:rPr>
          <w:rFonts w:ascii="Times New Roman" w:hAnsi="Times New Roman" w:cs="Times New Roman"/>
          <w:i w:val="0"/>
          <w:iCs w:val="0"/>
          <w:color w:val="auto"/>
          <w:lang w:val="mk-MK"/>
        </w:rPr>
        <w:t>туционална фрагментација</w:t>
      </w:r>
    </w:p>
    <w:p w14:paraId="748820F4"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Надлежностите за ВИ се расцепкани меѓу повеќе институции (МДТ, МЈА, МОН, МЕТ, АЗЛП) без јасна координација и единствена точка на одговорност. Ова резултира со дупликација на напори, конфликтни политики и неможност за имплементација</w:t>
      </w:r>
      <w:r>
        <w:rPr>
          <w:rFonts w:ascii="Times New Roman" w:hAnsi="Times New Roman" w:cs="Times New Roman"/>
          <w:color w:val="auto"/>
          <w:lang w:val="mk-MK"/>
        </w:rPr>
        <w:t xml:space="preserve"> на кохерентна национална стратегија. Формирањето на МДТ во 2024 година е позитивен чекор, но без формален мандат за ВИ координација, проблемот останува нерешен.</w:t>
      </w:r>
    </w:p>
    <w:p w14:paraId="256537AA" w14:textId="77777777" w:rsidR="00FE200F" w:rsidRDefault="00E77CAF">
      <w:pPr>
        <w:pStyle w:val="Heading4"/>
        <w:jc w:val="both"/>
        <w:rPr>
          <w:rFonts w:ascii="Times New Roman" w:hAnsi="Times New Roman" w:cs="Times New Roman"/>
          <w:lang w:val="mk-MK"/>
        </w:rPr>
      </w:pPr>
      <w:r>
        <w:rPr>
          <w:rFonts w:ascii="Times New Roman" w:hAnsi="Times New Roman" w:cs="Times New Roman"/>
          <w:i w:val="0"/>
          <w:iCs w:val="0"/>
          <w:color w:val="auto"/>
          <w:lang w:val="mk-MK"/>
        </w:rPr>
        <w:t>Бариера 3: Јаз во капацитетите</w:t>
      </w:r>
    </w:p>
    <w:p w14:paraId="3715345F"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Постои критичен недостаток на ВИ компетенции на три нивоа:</w:t>
      </w:r>
    </w:p>
    <w:p w14:paraId="43870285"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(а) </w:t>
      </w:r>
      <w:r>
        <w:rPr>
          <w:rFonts w:ascii="Times New Roman" w:hAnsi="Times New Roman" w:cs="Times New Roman"/>
          <w:color w:val="auto"/>
          <w:lang w:val="mk-MK"/>
        </w:rPr>
        <w:t>стратешко ниво — носителите на одлуки немаат доволно разбирање за ВИ за да дефинираат реалистични цели;</w:t>
      </w:r>
    </w:p>
    <w:p w14:paraId="2D787246"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(б) оперативно ниво — јавната администрација нема ВИ специјалисти кои можат да имплементираат и управуваат со ВИ системи;</w:t>
      </w:r>
    </w:p>
    <w:p w14:paraId="00C4A5A0"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(в) граѓанско ниво — ниската д</w:t>
      </w:r>
      <w:r>
        <w:rPr>
          <w:rFonts w:ascii="Times New Roman" w:hAnsi="Times New Roman" w:cs="Times New Roman"/>
          <w:color w:val="auto"/>
          <w:lang w:val="mk-MK"/>
        </w:rPr>
        <w:t>игитална писменост создава отпор и недоверба кон ВИ-базираните услуги.</w:t>
      </w:r>
    </w:p>
    <w:p w14:paraId="13129576" w14:textId="77777777" w:rsidR="00FE200F" w:rsidRDefault="00E77CAF">
      <w:pPr>
        <w:pStyle w:val="Heading4"/>
        <w:jc w:val="both"/>
        <w:rPr>
          <w:rFonts w:ascii="Times New Roman" w:hAnsi="Times New Roman" w:cs="Times New Roman"/>
          <w:lang w:val="mk-MK"/>
        </w:rPr>
      </w:pPr>
      <w:r>
        <w:rPr>
          <w:rFonts w:ascii="Times New Roman" w:hAnsi="Times New Roman" w:cs="Times New Roman"/>
          <w:i w:val="0"/>
          <w:iCs w:val="0"/>
          <w:color w:val="auto"/>
          <w:lang w:val="mk-MK"/>
        </w:rPr>
        <w:t>Бариера 4: Инфраструктурен дефицит</w:t>
      </w:r>
    </w:p>
    <w:p w14:paraId="4AFC9B65"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Отсуството на национална </w:t>
      </w:r>
      <w:r>
        <w:rPr>
          <w:rFonts w:ascii="Times New Roman" w:hAnsi="Times New Roman" w:cs="Times New Roman"/>
          <w:i/>
          <w:iCs/>
          <w:color w:val="auto"/>
          <w:lang w:val="mk-MK"/>
        </w:rPr>
        <w:t>HPC</w:t>
      </w:r>
      <w:r>
        <w:rPr>
          <w:rFonts w:ascii="Times New Roman" w:hAnsi="Times New Roman" w:cs="Times New Roman"/>
          <w:color w:val="auto"/>
          <w:lang w:val="mk-MK"/>
        </w:rPr>
        <w:t xml:space="preserve"> инфраструктура, фрагментираните и нестандардизирани државни бази на податоци и недостатокот на интероперабилност меѓу инс</w:t>
      </w:r>
      <w:r>
        <w:rPr>
          <w:rFonts w:ascii="Times New Roman" w:hAnsi="Times New Roman" w:cs="Times New Roman"/>
          <w:color w:val="auto"/>
          <w:lang w:val="mk-MK"/>
        </w:rPr>
        <w:t xml:space="preserve">титуциите го оневозможуваат тренирањето и имплементацијата на ВИ модели за јавни потреби. Без квалитетни, отворени и машински читливи државни податоци, ВИ системите не можат да функционираат ефективно. </w:t>
      </w:r>
    </w:p>
    <w:p w14:paraId="57E25AA1" w14:textId="77777777" w:rsidR="00FE200F" w:rsidRDefault="00FE200F">
      <w:pPr>
        <w:jc w:val="both"/>
        <w:rPr>
          <w:rFonts w:ascii="Times New Roman" w:hAnsi="Times New Roman" w:cs="Times New Roman"/>
          <w:color w:val="auto"/>
          <w:lang w:val="mk-MK"/>
        </w:rPr>
      </w:pPr>
    </w:p>
    <w:p w14:paraId="21BBA80F" w14:textId="77777777" w:rsidR="00FE200F" w:rsidRDefault="00E77CAF">
      <w:pPr>
        <w:pStyle w:val="Heading4"/>
        <w:jc w:val="both"/>
        <w:rPr>
          <w:rFonts w:ascii="Times New Roman" w:hAnsi="Times New Roman" w:cs="Times New Roman"/>
          <w:lang w:val="mk-MK"/>
        </w:rPr>
      </w:pPr>
      <w:r>
        <w:rPr>
          <w:rFonts w:ascii="Times New Roman" w:hAnsi="Times New Roman" w:cs="Times New Roman"/>
          <w:i w:val="0"/>
          <w:iCs w:val="0"/>
          <w:color w:val="auto"/>
          <w:lang w:val="mk-MK"/>
        </w:rPr>
        <w:t>Каузалниот синџир на неуспех</w:t>
      </w:r>
    </w:p>
    <w:p w14:paraId="372B0B8F"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Горенаведените четири б</w:t>
      </w:r>
      <w:r>
        <w:rPr>
          <w:rFonts w:ascii="Times New Roman" w:hAnsi="Times New Roman" w:cs="Times New Roman"/>
          <w:color w:val="auto"/>
          <w:lang w:val="mk-MK"/>
        </w:rPr>
        <w:t xml:space="preserve">ариери не функционираат изолирано — тие формираат </w:t>
      </w:r>
      <w:r>
        <w:rPr>
          <w:rFonts w:ascii="Times New Roman" w:hAnsi="Times New Roman" w:cs="Times New Roman"/>
          <w:b/>
          <w:color w:val="auto"/>
          <w:lang w:val="mk-MK"/>
        </w:rPr>
        <w:t>затворен циклус на неуспех</w:t>
      </w:r>
      <w:r>
        <w:rPr>
          <w:rFonts w:ascii="Times New Roman" w:hAnsi="Times New Roman" w:cs="Times New Roman"/>
          <w:color w:val="auto"/>
          <w:lang w:val="mk-MK"/>
        </w:rPr>
        <w:t>: регулаторниот вакуум ја обесхрабрува институционалната иницијатива → институционалната фрагментација ги спречува инвестициите во капацитети → јазот во капацитетите ги прави инфра</w:t>
      </w:r>
      <w:r>
        <w:rPr>
          <w:rFonts w:ascii="Times New Roman" w:hAnsi="Times New Roman" w:cs="Times New Roman"/>
          <w:color w:val="auto"/>
          <w:lang w:val="mk-MK"/>
        </w:rPr>
        <w:t xml:space="preserve">структурните инвестиции неефективни → инфраструктурниот дефицит ги поткопува аргументите за регулаторна реформа. Прекинувањето на овој циклус бара </w:t>
      </w:r>
      <w:r>
        <w:rPr>
          <w:rFonts w:ascii="Times New Roman" w:hAnsi="Times New Roman" w:cs="Times New Roman"/>
          <w:b/>
          <w:color w:val="auto"/>
          <w:lang w:val="mk-MK"/>
        </w:rPr>
        <w:t>симултани, координирани интервенции</w:t>
      </w:r>
      <w:r>
        <w:rPr>
          <w:rFonts w:ascii="Times New Roman" w:hAnsi="Times New Roman" w:cs="Times New Roman"/>
          <w:color w:val="auto"/>
          <w:lang w:val="mk-MK"/>
        </w:rPr>
        <w:t xml:space="preserve"> на сите четири нивоа, а не секвенцијален пристап.</w:t>
      </w:r>
    </w:p>
    <w:p w14:paraId="09674B10" w14:textId="77777777" w:rsidR="00FE200F" w:rsidRDefault="00FE200F">
      <w:pPr>
        <w:jc w:val="both"/>
        <w:rPr>
          <w:rFonts w:ascii="Times New Roman" w:hAnsi="Times New Roman" w:cs="Times New Roman"/>
          <w:color w:val="auto"/>
          <w:lang w:val="mk-MK"/>
        </w:rPr>
      </w:pPr>
    </w:p>
    <w:p w14:paraId="5AB75DAF" w14:textId="77777777" w:rsidR="00FE200F" w:rsidRDefault="00E77CAF">
      <w:pPr>
        <w:pStyle w:val="Heading3"/>
        <w:jc w:val="both"/>
        <w:rPr>
          <w:rFonts w:ascii="Times New Roman" w:hAnsi="Times New Roman" w:cs="Times New Roman"/>
          <w:lang w:val="mk-MK"/>
        </w:rPr>
      </w:pPr>
      <w:bookmarkStart w:id="99" w:name="_Toc240630075"/>
      <w:bookmarkStart w:id="100" w:name="_Toc243908018"/>
      <w:r>
        <w:rPr>
          <w:rFonts w:ascii="Times New Roman" w:hAnsi="Times New Roman" w:cs="Times New Roman"/>
          <w:color w:val="auto"/>
          <w:lang w:val="mk-MK"/>
        </w:rPr>
        <w:t xml:space="preserve">6.2 Визија за промена </w:t>
      </w:r>
      <w:r>
        <w:rPr>
          <w:rFonts w:ascii="Times New Roman" w:hAnsi="Times New Roman" w:cs="Times New Roman"/>
          <w:color w:val="auto"/>
          <w:lang w:val="mk-MK"/>
        </w:rPr>
        <w:t>и посакувана состојба</w:t>
      </w:r>
      <w:bookmarkEnd w:id="99"/>
      <w:bookmarkEnd w:id="100"/>
    </w:p>
    <w:p w14:paraId="4791D73E"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Оваа визија е целосно усогласена со </w:t>
      </w:r>
      <w:r>
        <w:rPr>
          <w:rFonts w:ascii="Times New Roman" w:hAnsi="Times New Roman" w:cs="Times New Roman"/>
          <w:b/>
          <w:color w:val="auto"/>
          <w:lang w:val="mk-MK"/>
        </w:rPr>
        <w:t>Националната развојна стратегија 2024–2044</w:t>
      </w:r>
      <w:r>
        <w:rPr>
          <w:rFonts w:ascii="Times New Roman" w:hAnsi="Times New Roman" w:cs="Times New Roman"/>
          <w:color w:val="auto"/>
          <w:lang w:val="mk-MK"/>
        </w:rPr>
        <w:t xml:space="preserve">, која предвидува економија заснована на знаење, иновации и дигитализација, како и со </w:t>
      </w:r>
      <w:r>
        <w:rPr>
          <w:rFonts w:ascii="Times New Roman" w:hAnsi="Times New Roman" w:cs="Times New Roman"/>
          <w:b/>
          <w:color w:val="auto"/>
          <w:lang w:val="mk-MK"/>
        </w:rPr>
        <w:t>СМАРТ/МК 2030</w:t>
      </w:r>
      <w:r>
        <w:rPr>
          <w:rFonts w:ascii="Times New Roman" w:hAnsi="Times New Roman" w:cs="Times New Roman"/>
          <w:color w:val="auto"/>
          <w:lang w:val="mk-MK"/>
        </w:rPr>
        <w:t xml:space="preserve">, која ја позиционира вештачката интелигенција како </w:t>
      </w:r>
      <w:r>
        <w:rPr>
          <w:rFonts w:ascii="Times New Roman" w:hAnsi="Times New Roman" w:cs="Times New Roman"/>
          <w:color w:val="auto"/>
          <w:lang w:val="mk-MK"/>
        </w:rPr>
        <w:t>клучен двигател за иновации во приоритетните сектори.</w:t>
      </w:r>
    </w:p>
    <w:p w14:paraId="40FB491A" w14:textId="77777777" w:rsidR="00FE200F" w:rsidRDefault="00E77CAF">
      <w:pPr>
        <w:pStyle w:val="Heading4"/>
        <w:jc w:val="both"/>
        <w:rPr>
          <w:rFonts w:ascii="Times New Roman" w:hAnsi="Times New Roman" w:cs="Times New Roman"/>
          <w:lang w:val="mk-MK"/>
        </w:rPr>
      </w:pPr>
      <w:r>
        <w:rPr>
          <w:rFonts w:ascii="Times New Roman" w:hAnsi="Times New Roman" w:cs="Times New Roman"/>
          <w:i w:val="0"/>
          <w:iCs w:val="0"/>
          <w:color w:val="auto"/>
          <w:lang w:val="mk-MK"/>
        </w:rPr>
        <w:t>Посакувана состојба (2030)</w:t>
      </w:r>
    </w:p>
    <w:p w14:paraId="033053A6"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До 2030 година, Република Северна Македонија е позиционирана како </w:t>
      </w:r>
      <w:r>
        <w:rPr>
          <w:rFonts w:ascii="Times New Roman" w:hAnsi="Times New Roman" w:cs="Times New Roman"/>
          <w:b/>
          <w:color w:val="auto"/>
          <w:lang w:val="mk-MK"/>
        </w:rPr>
        <w:t>регионален лидер во одговорна и инклузивна вештачка интелигенција</w:t>
      </w:r>
      <w:r>
        <w:rPr>
          <w:rFonts w:ascii="Times New Roman" w:hAnsi="Times New Roman" w:cs="Times New Roman"/>
          <w:color w:val="auto"/>
          <w:lang w:val="mk-MK"/>
        </w:rPr>
        <w:t>, каде:</w:t>
      </w:r>
    </w:p>
    <w:p w14:paraId="7005BBAD" w14:textId="77777777" w:rsidR="00FE200F" w:rsidRDefault="00E77CAF">
      <w:pPr>
        <w:pStyle w:val="ListBullet"/>
        <w:jc w:val="both"/>
        <w:rPr>
          <w:rFonts w:ascii="Times New Roman" w:hAnsi="Times New Roman" w:cs="Times New Roman"/>
          <w:lang w:val="mk-MK"/>
        </w:rPr>
      </w:pPr>
      <w:r>
        <w:rPr>
          <w:rFonts w:ascii="Times New Roman" w:hAnsi="Times New Roman" w:cs="Times New Roman"/>
          <w:color w:val="auto"/>
          <w:lang w:val="mk-MK"/>
        </w:rPr>
        <w:lastRenderedPageBreak/>
        <w:t>Постои функционална, ЕУ-усогласена п</w:t>
      </w:r>
      <w:r>
        <w:rPr>
          <w:rFonts w:ascii="Times New Roman" w:hAnsi="Times New Roman" w:cs="Times New Roman"/>
          <w:color w:val="auto"/>
          <w:lang w:val="mk-MK"/>
        </w:rPr>
        <w:t>равна рамка за ВИ која обезбедува правна сигурност за сите чинители;</w:t>
      </w:r>
    </w:p>
    <w:p w14:paraId="26FDDAC8" w14:textId="77777777" w:rsidR="00FE200F" w:rsidRDefault="00E77CAF">
      <w:pPr>
        <w:pStyle w:val="ListBullet"/>
        <w:jc w:val="both"/>
        <w:rPr>
          <w:rFonts w:ascii="Times New Roman" w:hAnsi="Times New Roman" w:cs="Times New Roman"/>
          <w:lang w:val="mk-MK"/>
        </w:rPr>
      </w:pPr>
      <w:r>
        <w:rPr>
          <w:rFonts w:ascii="Times New Roman" w:hAnsi="Times New Roman" w:cs="Times New Roman"/>
          <w:color w:val="auto"/>
          <w:lang w:val="mk-MK"/>
        </w:rPr>
        <w:t>Национален орган за ВИ со јасен мандат ги координира сите ВИ иницијативи и го надгледува усогласувањето;</w:t>
      </w:r>
    </w:p>
    <w:p w14:paraId="73BEE985" w14:textId="77777777" w:rsidR="00FE200F" w:rsidRDefault="00E77CAF">
      <w:pPr>
        <w:pStyle w:val="ListBullet"/>
        <w:jc w:val="both"/>
        <w:rPr>
          <w:rFonts w:ascii="Times New Roman" w:hAnsi="Times New Roman" w:cs="Times New Roman"/>
          <w:lang w:val="mk-MK"/>
        </w:rPr>
      </w:pPr>
      <w:r>
        <w:rPr>
          <w:rFonts w:ascii="Times New Roman" w:hAnsi="Times New Roman" w:cs="Times New Roman"/>
          <w:color w:val="auto"/>
          <w:lang w:val="mk-MK"/>
        </w:rPr>
        <w:t>Најмалку 5 функционални ВИ имплементации во јавниот сектор ги подобруваат услугите</w:t>
      </w:r>
      <w:r>
        <w:rPr>
          <w:rFonts w:ascii="Times New Roman" w:hAnsi="Times New Roman" w:cs="Times New Roman"/>
          <w:color w:val="auto"/>
          <w:lang w:val="mk-MK"/>
        </w:rPr>
        <w:t xml:space="preserve"> за граѓаните;</w:t>
      </w:r>
    </w:p>
    <w:p w14:paraId="7E117C5D" w14:textId="77777777" w:rsidR="00FE200F" w:rsidRDefault="00E77CAF">
      <w:pPr>
        <w:pStyle w:val="ListBullet"/>
        <w:jc w:val="both"/>
        <w:rPr>
          <w:rFonts w:ascii="Times New Roman" w:hAnsi="Times New Roman" w:cs="Times New Roman"/>
          <w:lang w:val="mk-MK"/>
        </w:rPr>
      </w:pPr>
      <w:r>
        <w:rPr>
          <w:rFonts w:ascii="Times New Roman" w:hAnsi="Times New Roman" w:cs="Times New Roman"/>
          <w:color w:val="auto"/>
          <w:lang w:val="mk-MK"/>
        </w:rPr>
        <w:t>ИКТ секторот се повеќе од аутсорсинг провајдер во иноватор на сопствени ВИ производи;</w:t>
      </w:r>
    </w:p>
    <w:p w14:paraId="7FDCEEF2" w14:textId="77777777" w:rsidR="00FE200F" w:rsidRDefault="00E77CAF">
      <w:pPr>
        <w:pStyle w:val="ListBullet"/>
        <w:jc w:val="both"/>
        <w:rPr>
          <w:rFonts w:ascii="Times New Roman" w:hAnsi="Times New Roman" w:cs="Times New Roman"/>
          <w:lang w:val="mk-MK"/>
        </w:rPr>
      </w:pPr>
      <w:r>
        <w:rPr>
          <w:rFonts w:ascii="Times New Roman" w:hAnsi="Times New Roman" w:cs="Times New Roman"/>
          <w:color w:val="auto"/>
          <w:lang w:val="mk-MK"/>
        </w:rPr>
        <w:t>Граѓаните имаат доверба во ВИ системите и разбираат како тие влијаат на нивниот живот;</w:t>
      </w:r>
    </w:p>
    <w:p w14:paraId="59C7C129" w14:textId="77777777" w:rsidR="00FE200F" w:rsidRDefault="00E77CAF">
      <w:pPr>
        <w:pStyle w:val="ListBullet"/>
        <w:jc w:val="both"/>
        <w:rPr>
          <w:rFonts w:ascii="Times New Roman" w:hAnsi="Times New Roman" w:cs="Times New Roman"/>
          <w:lang w:val="mk-MK"/>
        </w:rPr>
      </w:pPr>
      <w:r>
        <w:rPr>
          <w:rFonts w:ascii="Times New Roman" w:hAnsi="Times New Roman" w:cs="Times New Roman"/>
          <w:color w:val="auto"/>
          <w:lang w:val="mk-MK"/>
        </w:rPr>
        <w:t>Oxford Insights Government AI Readiness Index ранг 55–60 (од тековни</w:t>
      </w:r>
      <w:r>
        <w:rPr>
          <w:rFonts w:ascii="Times New Roman" w:hAnsi="Times New Roman" w:cs="Times New Roman"/>
          <w:color w:val="auto"/>
          <w:lang w:val="mk-MK"/>
        </w:rPr>
        <w:t>от 107), со Policy Capacity 70.00+, Governance 65.00+, AI Infrastructure 52.00+ и Development &amp; Diffusion 40.00+</w:t>
      </w:r>
    </w:p>
    <w:p w14:paraId="5F4A167D" w14:textId="77777777" w:rsidR="00FE200F" w:rsidRDefault="00E77CAF">
      <w:pPr>
        <w:pStyle w:val="Heading4"/>
        <w:jc w:val="both"/>
        <w:rPr>
          <w:rFonts w:ascii="Times New Roman" w:hAnsi="Times New Roman" w:cs="Times New Roman"/>
          <w:lang w:val="mk-MK"/>
        </w:rPr>
      </w:pPr>
      <w:r>
        <w:rPr>
          <w:rFonts w:ascii="Times New Roman" w:hAnsi="Times New Roman" w:cs="Times New Roman"/>
          <w:i w:val="0"/>
          <w:iCs w:val="0"/>
          <w:color w:val="auto"/>
          <w:lang w:val="mk-MK"/>
        </w:rPr>
        <w:t>Патека на промена: Три фази</w:t>
      </w:r>
    </w:p>
    <w:p w14:paraId="384D9606"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Промената не се случува линеарно — таа следи </w:t>
      </w:r>
      <w:r>
        <w:rPr>
          <w:rFonts w:ascii="Times New Roman" w:hAnsi="Times New Roman" w:cs="Times New Roman"/>
          <w:b/>
          <w:color w:val="auto"/>
          <w:lang w:val="mk-MK"/>
        </w:rPr>
        <w:t>три меѓусебно зависни фази</w:t>
      </w:r>
      <w:r>
        <w:rPr>
          <w:rFonts w:ascii="Times New Roman" w:hAnsi="Times New Roman" w:cs="Times New Roman"/>
          <w:color w:val="auto"/>
          <w:lang w:val="mk-MK"/>
        </w:rPr>
        <w:t>:</w:t>
      </w:r>
    </w:p>
    <w:p w14:paraId="13812B24" w14:textId="77777777" w:rsidR="00FE200F" w:rsidRDefault="00E77CAF">
      <w:pPr>
        <w:pStyle w:val="Heading4"/>
        <w:jc w:val="both"/>
        <w:rPr>
          <w:rFonts w:ascii="Times New Roman" w:hAnsi="Times New Roman" w:cs="Times New Roman"/>
          <w:lang w:val="mk-MK"/>
        </w:rPr>
      </w:pPr>
      <w:r>
        <w:rPr>
          <w:rFonts w:ascii="Times New Roman" w:hAnsi="Times New Roman" w:cs="Times New Roman"/>
          <w:i w:val="0"/>
          <w:iCs w:val="0"/>
          <w:color w:val="auto"/>
          <w:lang w:val="mk-MK"/>
        </w:rPr>
        <w:t>Фаза на темели (2025–2028): Создавање пред</w:t>
      </w:r>
      <w:r>
        <w:rPr>
          <w:rFonts w:ascii="Times New Roman" w:hAnsi="Times New Roman" w:cs="Times New Roman"/>
          <w:i w:val="0"/>
          <w:iCs w:val="0"/>
          <w:color w:val="auto"/>
          <w:lang w:val="mk-MK"/>
        </w:rPr>
        <w:t>услови</w:t>
      </w:r>
    </w:p>
    <w:p w14:paraId="5D60B814"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Без правна рамка и институционален капацитет, никаква техничка имплементација не може да биде одржлива. Оваа фаза се фокусира исклучиво на воспоставување на системски предуслови: усвојување на Закон за ВИ, формирање на национален орган за ВИ и воспо</w:t>
      </w:r>
      <w:r>
        <w:rPr>
          <w:rFonts w:ascii="Times New Roman" w:hAnsi="Times New Roman" w:cs="Times New Roman"/>
          <w:color w:val="auto"/>
          <w:lang w:val="mk-MK"/>
        </w:rPr>
        <w:t xml:space="preserve">ставување на базична ВИ инфраструктура. Успехот на оваа фаза е </w:t>
      </w:r>
      <w:r>
        <w:rPr>
          <w:rFonts w:ascii="Times New Roman" w:hAnsi="Times New Roman" w:cs="Times New Roman"/>
          <w:b/>
          <w:color w:val="auto"/>
          <w:lang w:val="mk-MK"/>
        </w:rPr>
        <w:t>критичен предуслов</w:t>
      </w:r>
      <w:r>
        <w:rPr>
          <w:rFonts w:ascii="Times New Roman" w:hAnsi="Times New Roman" w:cs="Times New Roman"/>
          <w:color w:val="auto"/>
          <w:lang w:val="mk-MK"/>
        </w:rPr>
        <w:t xml:space="preserve"> за сè што следи.</w:t>
      </w:r>
    </w:p>
    <w:p w14:paraId="6282B35A" w14:textId="77777777" w:rsidR="00FE200F" w:rsidRDefault="00E77CAF">
      <w:pPr>
        <w:pStyle w:val="Heading4"/>
        <w:jc w:val="both"/>
        <w:rPr>
          <w:rFonts w:ascii="Times New Roman" w:hAnsi="Times New Roman" w:cs="Times New Roman"/>
          <w:lang w:val="mk-MK"/>
        </w:rPr>
      </w:pPr>
      <w:r>
        <w:rPr>
          <w:rFonts w:ascii="Times New Roman" w:hAnsi="Times New Roman" w:cs="Times New Roman"/>
          <w:i w:val="0"/>
          <w:iCs w:val="0"/>
          <w:color w:val="auto"/>
          <w:lang w:val="mk-MK"/>
        </w:rPr>
        <w:t>Фаза на имплементација (2028–2029): Докажување на вредноста</w:t>
      </w:r>
    </w:p>
    <w:p w14:paraId="4B27669A"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Со воспоставени темели, оваа фаза ги имплементира конкретните ВИ решенија во јавниот сектор и ги </w:t>
      </w:r>
      <w:r>
        <w:rPr>
          <w:rFonts w:ascii="Times New Roman" w:hAnsi="Times New Roman" w:cs="Times New Roman"/>
          <w:color w:val="auto"/>
          <w:lang w:val="mk-MK"/>
        </w:rPr>
        <w:t xml:space="preserve">развива образовните програми. Клучно е да се изберат </w:t>
      </w:r>
      <w:r>
        <w:rPr>
          <w:rFonts w:ascii="Times New Roman" w:hAnsi="Times New Roman" w:cs="Times New Roman"/>
          <w:b/>
          <w:color w:val="auto"/>
          <w:lang w:val="mk-MK"/>
        </w:rPr>
        <w:t>пилот проекти со висока видливост и мерлив импакт</w:t>
      </w:r>
      <w:r>
        <w:rPr>
          <w:rFonts w:ascii="Times New Roman" w:hAnsi="Times New Roman" w:cs="Times New Roman"/>
          <w:color w:val="auto"/>
          <w:lang w:val="mk-MK"/>
        </w:rPr>
        <w:t xml:space="preserve"> (на пр., ВИ асистент на е-услуги.мк, ВИ за рана дијагностика во здравството) кои ќе ја изградат јавната доверба и ќе ги убедат скептиците.</w:t>
      </w:r>
    </w:p>
    <w:p w14:paraId="4197F2CB" w14:textId="77777777" w:rsidR="00FE200F" w:rsidRDefault="00E77CAF">
      <w:pPr>
        <w:pStyle w:val="Heading4"/>
        <w:jc w:val="both"/>
        <w:rPr>
          <w:rFonts w:ascii="Times New Roman" w:hAnsi="Times New Roman" w:cs="Times New Roman"/>
          <w:lang w:val="mk-MK"/>
        </w:rPr>
      </w:pPr>
      <w:r>
        <w:rPr>
          <w:rFonts w:ascii="Times New Roman" w:hAnsi="Times New Roman" w:cs="Times New Roman"/>
          <w:i w:val="0"/>
          <w:iCs w:val="0"/>
          <w:color w:val="auto"/>
          <w:lang w:val="mk-MK"/>
        </w:rPr>
        <w:t xml:space="preserve">Фаза на </w:t>
      </w:r>
      <w:r>
        <w:rPr>
          <w:rFonts w:ascii="Times New Roman" w:hAnsi="Times New Roman" w:cs="Times New Roman"/>
          <w:i w:val="0"/>
          <w:iCs w:val="0"/>
          <w:color w:val="auto"/>
          <w:lang w:val="mk-MK"/>
        </w:rPr>
        <w:t>скалирање (2029–2030): Системска трансформација</w:t>
      </w:r>
    </w:p>
    <w:p w14:paraId="7D4A2F35"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Докажаните пилот проекти се скалираат, приватниот сектор ги усвојува добрите практики, а Македонија станува регионален референтен пример. Оваа фаза е условена од успехот на претходните две.</w:t>
      </w:r>
    </w:p>
    <w:p w14:paraId="2201FFD0" w14:textId="77777777" w:rsidR="00FE200F" w:rsidRDefault="00FE200F">
      <w:pPr>
        <w:jc w:val="both"/>
        <w:rPr>
          <w:rFonts w:ascii="Times New Roman" w:hAnsi="Times New Roman" w:cs="Times New Roman"/>
          <w:color w:val="auto"/>
          <w:lang w:val="mk-MK"/>
        </w:rPr>
      </w:pPr>
    </w:p>
    <w:p w14:paraId="41BF9645" w14:textId="77777777" w:rsidR="00FE200F" w:rsidRDefault="00E77CAF">
      <w:pPr>
        <w:pStyle w:val="Heading3"/>
        <w:jc w:val="both"/>
        <w:rPr>
          <w:rFonts w:ascii="Times New Roman" w:hAnsi="Times New Roman" w:cs="Times New Roman"/>
          <w:lang w:val="mk-MK"/>
        </w:rPr>
      </w:pPr>
      <w:bookmarkStart w:id="101" w:name="_Toc240630076"/>
      <w:bookmarkStart w:id="102" w:name="_Toc243908019"/>
      <w:r>
        <w:rPr>
          <w:rFonts w:ascii="Times New Roman" w:hAnsi="Times New Roman" w:cs="Times New Roman"/>
          <w:color w:val="auto"/>
          <w:lang w:val="mk-MK"/>
        </w:rPr>
        <w:t>6.3 Логика на про</w:t>
      </w:r>
      <w:r>
        <w:rPr>
          <w:rFonts w:ascii="Times New Roman" w:hAnsi="Times New Roman" w:cs="Times New Roman"/>
          <w:color w:val="auto"/>
          <w:lang w:val="mk-MK"/>
        </w:rPr>
        <w:t xml:space="preserve">мена — Детален </w:t>
      </w:r>
      <w:r>
        <w:rPr>
          <w:rFonts w:ascii="Times New Roman" w:hAnsi="Times New Roman" w:cs="Times New Roman"/>
          <w:i/>
          <w:iCs/>
          <w:color w:val="auto"/>
          <w:lang w:val="mk-MK"/>
        </w:rPr>
        <w:t>INPUTS-IMPACT</w:t>
      </w:r>
      <w:r>
        <w:rPr>
          <w:rFonts w:ascii="Times New Roman" w:hAnsi="Times New Roman" w:cs="Times New Roman"/>
          <w:color w:val="auto"/>
          <w:lang w:val="mk-MK"/>
        </w:rPr>
        <w:t xml:space="preserve">  синџир</w:t>
      </w:r>
      <w:bookmarkEnd w:id="101"/>
      <w:bookmarkEnd w:id="102"/>
    </w:p>
    <w:tbl>
      <w:tblPr>
        <w:tblStyle w:val="GridTable5Dark-Accent5"/>
        <w:tblW w:w="10916" w:type="dxa"/>
        <w:tblInd w:w="-743" w:type="dxa"/>
        <w:shd w:val="clear" w:color="auto" w:fill="DAEEF3"/>
        <w:tblLayout w:type="fixed"/>
        <w:tblLook w:val="04A0" w:firstRow="1" w:lastRow="0" w:firstColumn="1" w:lastColumn="0" w:noHBand="0" w:noVBand="1"/>
      </w:tblPr>
      <w:tblGrid>
        <w:gridCol w:w="1994"/>
        <w:gridCol w:w="3371"/>
        <w:gridCol w:w="3139"/>
        <w:gridCol w:w="2412"/>
      </w:tblGrid>
      <w:tr w:rsidR="00FE200F" w14:paraId="1613AAE5" w14:textId="77777777" w:rsidTr="00FE20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3" w:type="dxa"/>
          </w:tcPr>
          <w:p w14:paraId="6DF4A862"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Ниво</w:t>
            </w:r>
          </w:p>
        </w:tc>
        <w:tc>
          <w:tcPr>
            <w:tcW w:w="3371" w:type="dxa"/>
            <w:tcBorders>
              <w:bottom w:val="nil"/>
            </w:tcBorders>
          </w:tcPr>
          <w:p w14:paraId="5DECB734" w14:textId="77777777" w:rsidR="00FE200F" w:rsidRDefault="00E77CA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Конкретни елементи</w:t>
            </w:r>
          </w:p>
        </w:tc>
        <w:tc>
          <w:tcPr>
            <w:tcW w:w="3139" w:type="dxa"/>
            <w:tcBorders>
              <w:bottom w:val="nil"/>
            </w:tcBorders>
          </w:tcPr>
          <w:p w14:paraId="5D3D2C9E" w14:textId="77777777" w:rsidR="00FE200F" w:rsidRDefault="00E77CA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Индикатори за мониторинг</w:t>
            </w:r>
          </w:p>
        </w:tc>
        <w:tc>
          <w:tcPr>
            <w:tcW w:w="2412" w:type="dxa"/>
            <w:tcBorders>
              <w:bottom w:val="nil"/>
            </w:tcBorders>
          </w:tcPr>
          <w:p w14:paraId="0EE5845D" w14:textId="77777777" w:rsidR="00FE200F" w:rsidRDefault="00E77CA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Временска рамка</w:t>
            </w:r>
          </w:p>
        </w:tc>
      </w:tr>
      <w:tr w:rsidR="00FE200F" w14:paraId="1BC6AB86"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3" w:type="dxa"/>
            <w:tcBorders>
              <w:right w:val="nil"/>
            </w:tcBorders>
          </w:tcPr>
          <w:p w14:paraId="0B8FD522" w14:textId="77777777" w:rsidR="00FE200F" w:rsidRDefault="00E77CAF">
            <w:pPr>
              <w:jc w:val="both"/>
              <w:rPr>
                <w:rFonts w:ascii="Times New Roman" w:hAnsi="Times New Roman" w:cs="Times New Roman"/>
                <w:lang w:val="mk-MK"/>
              </w:rPr>
            </w:pPr>
            <w:r>
              <w:rPr>
                <w:rFonts w:ascii="Times New Roman" w:hAnsi="Times New Roman" w:cs="Times New Roman"/>
                <w:i/>
                <w:iCs/>
                <w:color w:val="auto"/>
                <w:lang w:val="mk-MK"/>
              </w:rPr>
              <w:t>Инпути</w:t>
            </w:r>
          </w:p>
        </w:tc>
        <w:tc>
          <w:tcPr>
            <w:tcW w:w="3371" w:type="dxa"/>
          </w:tcPr>
          <w:p w14:paraId="27F026D6"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ЕУ фондови (</w:t>
            </w:r>
            <w:r>
              <w:rPr>
                <w:rFonts w:ascii="Times New Roman" w:hAnsi="Times New Roman" w:cs="Times New Roman"/>
                <w:i/>
                <w:iCs/>
                <w:color w:val="auto"/>
                <w:lang w:val="mk-MK"/>
              </w:rPr>
              <w:t>Digital Europe, Horizon Europe, IPA III</w:t>
            </w:r>
            <w:r>
              <w:rPr>
                <w:rFonts w:ascii="Times New Roman" w:hAnsi="Times New Roman" w:cs="Times New Roman"/>
                <w:color w:val="auto"/>
                <w:lang w:val="mk-MK"/>
              </w:rPr>
              <w:t xml:space="preserve">): ~15–20M </w:t>
            </w:r>
            <w:r>
              <w:rPr>
                <w:rFonts w:ascii="Times New Roman" w:hAnsi="Times New Roman" w:cs="Times New Roman"/>
                <w:i/>
                <w:iCs/>
                <w:color w:val="auto"/>
                <w:lang w:val="mk-MK"/>
              </w:rPr>
              <w:t>EUR</w:t>
            </w:r>
            <w:r>
              <w:rPr>
                <w:rFonts w:ascii="Times New Roman" w:hAnsi="Times New Roman" w:cs="Times New Roman"/>
                <w:color w:val="auto"/>
                <w:lang w:val="mk-MK"/>
              </w:rPr>
              <w:t xml:space="preserve">; Национален буџет: ~3–5M </w:t>
            </w:r>
            <w:r>
              <w:rPr>
                <w:rFonts w:ascii="Times New Roman" w:hAnsi="Times New Roman" w:cs="Times New Roman"/>
                <w:i/>
                <w:iCs/>
                <w:color w:val="auto"/>
                <w:lang w:val="mk-MK"/>
              </w:rPr>
              <w:t>EUR</w:t>
            </w:r>
            <w:r>
              <w:rPr>
                <w:rFonts w:ascii="Times New Roman" w:hAnsi="Times New Roman" w:cs="Times New Roman"/>
                <w:color w:val="auto"/>
                <w:lang w:val="mk-MK"/>
              </w:rPr>
              <w:t xml:space="preserve"> годишно; Меѓународна техничка помош (ЕУ Твининг, УНДП, СЕ); Човечки ресурси: 15–20 ВИ специјалисти во јавниот сектор</w:t>
            </w:r>
          </w:p>
        </w:tc>
        <w:tc>
          <w:tcPr>
            <w:tcW w:w="3139" w:type="dxa"/>
          </w:tcPr>
          <w:p w14:paraId="430E9D09"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Буџет алоциран; Број на ВИ специјалисти вработени; Број на меѓународни партнерства</w:t>
            </w:r>
          </w:p>
        </w:tc>
        <w:tc>
          <w:tcPr>
            <w:tcW w:w="2412" w:type="dxa"/>
          </w:tcPr>
          <w:p w14:paraId="22AB2C13"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2025–2026</w:t>
            </w:r>
          </w:p>
        </w:tc>
      </w:tr>
      <w:tr w:rsidR="00FE200F" w14:paraId="569605ED" w14:textId="77777777" w:rsidTr="00FE200F">
        <w:tc>
          <w:tcPr>
            <w:cnfStyle w:val="001000000000" w:firstRow="0" w:lastRow="0" w:firstColumn="1" w:lastColumn="0" w:oddVBand="0" w:evenVBand="0" w:oddHBand="0" w:evenHBand="0" w:firstRowFirstColumn="0" w:firstRowLastColumn="0" w:lastRowFirstColumn="0" w:lastRowLastColumn="0"/>
            <w:tcW w:w="1993" w:type="dxa"/>
            <w:tcBorders>
              <w:right w:val="nil"/>
            </w:tcBorders>
          </w:tcPr>
          <w:p w14:paraId="2FAEE642" w14:textId="77777777" w:rsidR="00FE200F" w:rsidRDefault="00E77CAF">
            <w:pPr>
              <w:jc w:val="both"/>
              <w:rPr>
                <w:rFonts w:ascii="Times New Roman" w:hAnsi="Times New Roman" w:cs="Times New Roman"/>
                <w:lang w:val="mk-MK"/>
              </w:rPr>
            </w:pPr>
            <w:r>
              <w:rPr>
                <w:rFonts w:ascii="Times New Roman" w:hAnsi="Times New Roman" w:cs="Times New Roman"/>
                <w:i/>
                <w:iCs/>
                <w:color w:val="auto"/>
                <w:lang w:val="mk-MK"/>
              </w:rPr>
              <w:lastRenderedPageBreak/>
              <w:t>Активности</w:t>
            </w:r>
          </w:p>
        </w:tc>
        <w:tc>
          <w:tcPr>
            <w:tcW w:w="3371" w:type="dxa"/>
          </w:tcPr>
          <w:p w14:paraId="63C43CC1"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 xml:space="preserve">Изработка и усвојување на Закон за ВИ; Формирање на Национален орган за ВИ; Развој на ВИ курикулуми (основно, средно, високо образование); Имплементација на 5 пилот ВИ проекти во јавниот сектор; Воспоставување на национален ВИ центар и </w:t>
            </w:r>
            <w:r>
              <w:rPr>
                <w:rFonts w:ascii="Times New Roman" w:hAnsi="Times New Roman" w:cs="Times New Roman"/>
                <w:i/>
                <w:iCs/>
                <w:color w:val="auto"/>
                <w:lang w:val="mk-MK"/>
              </w:rPr>
              <w:t>HPC</w:t>
            </w:r>
            <w:r>
              <w:rPr>
                <w:rFonts w:ascii="Times New Roman" w:hAnsi="Times New Roman" w:cs="Times New Roman"/>
                <w:color w:val="auto"/>
                <w:lang w:val="mk-MK"/>
              </w:rPr>
              <w:t xml:space="preserve"> инфраструктура; </w:t>
            </w:r>
            <w:r>
              <w:rPr>
                <w:rFonts w:ascii="Times New Roman" w:hAnsi="Times New Roman" w:cs="Times New Roman"/>
                <w:color w:val="auto"/>
                <w:lang w:val="mk-MK"/>
              </w:rPr>
              <w:t>Лансирање на регистар на ВИ системи; Програма за ВИ писменост за граѓани</w:t>
            </w:r>
          </w:p>
        </w:tc>
        <w:tc>
          <w:tcPr>
            <w:tcW w:w="3139" w:type="dxa"/>
          </w:tcPr>
          <w:p w14:paraId="7A5B9C97"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Рокови исполнети; Број на консултации со засегнати страни; Број на обучени лица</w:t>
            </w:r>
          </w:p>
        </w:tc>
        <w:tc>
          <w:tcPr>
            <w:tcW w:w="2412" w:type="dxa"/>
          </w:tcPr>
          <w:p w14:paraId="27933CF3"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2025–2028</w:t>
            </w:r>
          </w:p>
        </w:tc>
      </w:tr>
      <w:tr w:rsidR="00FE200F" w14:paraId="562F5D80"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3" w:type="dxa"/>
            <w:tcBorders>
              <w:right w:val="nil"/>
            </w:tcBorders>
          </w:tcPr>
          <w:p w14:paraId="546E3228" w14:textId="77777777" w:rsidR="00FE200F" w:rsidRDefault="00E77CAF">
            <w:pPr>
              <w:jc w:val="both"/>
              <w:rPr>
                <w:rFonts w:ascii="Times New Roman" w:hAnsi="Times New Roman" w:cs="Times New Roman"/>
                <w:lang w:val="mk-MK"/>
              </w:rPr>
            </w:pPr>
            <w:r>
              <w:rPr>
                <w:rFonts w:ascii="Times New Roman" w:hAnsi="Times New Roman" w:cs="Times New Roman"/>
                <w:i/>
                <w:iCs/>
                <w:color w:val="auto"/>
                <w:lang w:val="mk-MK"/>
              </w:rPr>
              <w:t>Аутпути</w:t>
            </w:r>
          </w:p>
        </w:tc>
        <w:tc>
          <w:tcPr>
            <w:tcW w:w="3371" w:type="dxa"/>
          </w:tcPr>
          <w:p w14:paraId="2287194D"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Усвоен Закон за ВИ усогласен со ЕУ AI Act; Функционален Национален орган за ВИ со бу</w:t>
            </w:r>
            <w:r>
              <w:rPr>
                <w:rFonts w:ascii="Times New Roman" w:hAnsi="Times New Roman" w:cs="Times New Roman"/>
                <w:color w:val="auto"/>
                <w:lang w:val="mk-MK"/>
              </w:rPr>
              <w:t xml:space="preserve">џет и персонал; ВИ курикулуми интегрирани во образовниот систем; 5 функционални ВИ имплементации во јавниот сектор; Национален ВИ центар со </w:t>
            </w:r>
            <w:r>
              <w:rPr>
                <w:rFonts w:ascii="Times New Roman" w:hAnsi="Times New Roman" w:cs="Times New Roman"/>
                <w:i/>
                <w:iCs/>
                <w:color w:val="auto"/>
                <w:lang w:val="mk-MK"/>
              </w:rPr>
              <w:t>HPC</w:t>
            </w:r>
            <w:r>
              <w:rPr>
                <w:rFonts w:ascii="Times New Roman" w:hAnsi="Times New Roman" w:cs="Times New Roman"/>
                <w:color w:val="auto"/>
                <w:lang w:val="mk-MK"/>
              </w:rPr>
              <w:t xml:space="preserve"> пристап; Јавен регистар на ВИ системи; 10.000+ граѓани обучени за ВИ основи</w:t>
            </w:r>
          </w:p>
        </w:tc>
        <w:tc>
          <w:tcPr>
            <w:tcW w:w="3139" w:type="dxa"/>
          </w:tcPr>
          <w:p w14:paraId="33E2609C"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Број на усвоени правни акти; Број на</w:t>
            </w:r>
            <w:r>
              <w:rPr>
                <w:rFonts w:ascii="Times New Roman" w:hAnsi="Times New Roman" w:cs="Times New Roman"/>
                <w:color w:val="auto"/>
                <w:lang w:val="mk-MK"/>
              </w:rPr>
              <w:t xml:space="preserve"> функционални институции; Број на имплементирани системи; Број на обучени лица</w:t>
            </w:r>
          </w:p>
        </w:tc>
        <w:tc>
          <w:tcPr>
            <w:tcW w:w="2412" w:type="dxa"/>
          </w:tcPr>
          <w:p w14:paraId="0EA11F03"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2026–2028</w:t>
            </w:r>
          </w:p>
        </w:tc>
      </w:tr>
      <w:tr w:rsidR="00FE200F" w14:paraId="0205184F" w14:textId="77777777" w:rsidTr="00FE200F">
        <w:tc>
          <w:tcPr>
            <w:cnfStyle w:val="001000000000" w:firstRow="0" w:lastRow="0" w:firstColumn="1" w:lastColumn="0" w:oddVBand="0" w:evenVBand="0" w:oddHBand="0" w:evenHBand="0" w:firstRowFirstColumn="0" w:firstRowLastColumn="0" w:lastRowFirstColumn="0" w:lastRowLastColumn="0"/>
            <w:tcW w:w="1993" w:type="dxa"/>
            <w:tcBorders>
              <w:right w:val="nil"/>
            </w:tcBorders>
          </w:tcPr>
          <w:p w14:paraId="7222E62B" w14:textId="77777777" w:rsidR="00FE200F" w:rsidRDefault="00E77CAF">
            <w:pPr>
              <w:jc w:val="both"/>
              <w:rPr>
                <w:rFonts w:ascii="Times New Roman" w:hAnsi="Times New Roman" w:cs="Times New Roman"/>
                <w:lang w:val="mk-MK"/>
              </w:rPr>
            </w:pPr>
            <w:r>
              <w:rPr>
                <w:rFonts w:ascii="Times New Roman" w:hAnsi="Times New Roman" w:cs="Times New Roman"/>
                <w:i/>
                <w:iCs/>
                <w:color w:val="auto"/>
                <w:lang w:val="mk-MK"/>
              </w:rPr>
              <w:t xml:space="preserve">РЕЗУЛТАТИ </w:t>
            </w:r>
            <w:r>
              <w:rPr>
                <w:rFonts w:ascii="Times New Roman" w:hAnsi="Times New Roman" w:cs="Times New Roman"/>
                <w:color w:val="auto"/>
                <w:lang w:val="mk-MK"/>
              </w:rPr>
              <w:t>(краткорочни)</w:t>
            </w:r>
          </w:p>
        </w:tc>
        <w:tc>
          <w:tcPr>
            <w:tcW w:w="3371" w:type="dxa"/>
          </w:tcPr>
          <w:p w14:paraId="3FE4E453"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Правна сигурност за ВИ инвестиции; Зголемена институционална координација; Подобрени јавни услуги за граѓаните (помало чекање, поголема точнос</w:t>
            </w:r>
            <w:r>
              <w:rPr>
                <w:rFonts w:ascii="Times New Roman" w:hAnsi="Times New Roman" w:cs="Times New Roman"/>
                <w:color w:val="auto"/>
                <w:lang w:val="mk-MK"/>
              </w:rPr>
              <w:t>т); Зголемена јавна доверба во ВИ системите; Намалена бирократија преку автоматизација</w:t>
            </w:r>
          </w:p>
        </w:tc>
        <w:tc>
          <w:tcPr>
            <w:tcW w:w="3139" w:type="dxa"/>
          </w:tcPr>
          <w:p w14:paraId="4B1822C9"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Раст на ВИ инвестиции (+20% годишно); Задоволство на граѓаните со е-услуги; Број на ВИ компании регистрирани</w:t>
            </w:r>
          </w:p>
        </w:tc>
        <w:tc>
          <w:tcPr>
            <w:tcW w:w="2412" w:type="dxa"/>
          </w:tcPr>
          <w:p w14:paraId="77FB62AA"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2027–2028</w:t>
            </w:r>
          </w:p>
        </w:tc>
      </w:tr>
      <w:tr w:rsidR="00FE200F" w14:paraId="2A291420"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3" w:type="dxa"/>
            <w:tcBorders>
              <w:right w:val="nil"/>
            </w:tcBorders>
          </w:tcPr>
          <w:p w14:paraId="18824E9E" w14:textId="77777777" w:rsidR="00FE200F" w:rsidRDefault="00E77CAF">
            <w:pPr>
              <w:jc w:val="both"/>
              <w:rPr>
                <w:rFonts w:ascii="Times New Roman" w:hAnsi="Times New Roman" w:cs="Times New Roman"/>
                <w:lang w:val="mk-MK"/>
              </w:rPr>
            </w:pPr>
            <w:r>
              <w:rPr>
                <w:rFonts w:ascii="Times New Roman" w:hAnsi="Times New Roman" w:cs="Times New Roman"/>
                <w:i/>
                <w:iCs/>
                <w:color w:val="auto"/>
                <w:lang w:val="mk-MK"/>
              </w:rPr>
              <w:t xml:space="preserve">РЕЗУЛТАТИ </w:t>
            </w:r>
            <w:r>
              <w:rPr>
                <w:rFonts w:ascii="Times New Roman" w:hAnsi="Times New Roman" w:cs="Times New Roman"/>
                <w:color w:val="auto"/>
                <w:lang w:val="mk-MK"/>
              </w:rPr>
              <w:t>(среднорочни)</w:t>
            </w:r>
          </w:p>
        </w:tc>
        <w:tc>
          <w:tcPr>
            <w:tcW w:w="3371" w:type="dxa"/>
          </w:tcPr>
          <w:p w14:paraId="5A0EB48D"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 xml:space="preserve">Трансформација на ИКТ </w:t>
            </w:r>
            <w:r>
              <w:rPr>
                <w:rFonts w:ascii="Times New Roman" w:hAnsi="Times New Roman" w:cs="Times New Roman"/>
                <w:color w:val="auto"/>
                <w:lang w:val="mk-MK"/>
              </w:rPr>
              <w:t>секторот кон иновации; Намален одлив на мозоци поради атрактивна домашна ВИ средина; Регионална препознатливост на македонски ВИ производи; Зголемено учество на жени и малцинства во ВИ</w:t>
            </w:r>
          </w:p>
        </w:tc>
        <w:tc>
          <w:tcPr>
            <w:tcW w:w="3139" w:type="dxa"/>
          </w:tcPr>
          <w:p w14:paraId="01317C10"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 xml:space="preserve">Извоз на ВИ производи и услуги; Број на ВИ стартапи; Позиција на </w:t>
            </w:r>
            <w:r>
              <w:rPr>
                <w:rFonts w:ascii="Times New Roman" w:hAnsi="Times New Roman" w:cs="Times New Roman"/>
                <w:i/>
                <w:iCs/>
                <w:color w:val="auto"/>
                <w:lang w:val="mk-MK"/>
              </w:rPr>
              <w:t>OECD A</w:t>
            </w:r>
            <w:r>
              <w:rPr>
                <w:rFonts w:ascii="Times New Roman" w:hAnsi="Times New Roman" w:cs="Times New Roman"/>
                <w:i/>
                <w:iCs/>
                <w:color w:val="auto"/>
                <w:lang w:val="mk-MK"/>
              </w:rPr>
              <w:t>I Readiness Index</w:t>
            </w:r>
          </w:p>
        </w:tc>
        <w:tc>
          <w:tcPr>
            <w:tcW w:w="2412" w:type="dxa"/>
          </w:tcPr>
          <w:p w14:paraId="6271286F"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2028–2030</w:t>
            </w:r>
          </w:p>
        </w:tc>
      </w:tr>
      <w:tr w:rsidR="00FE200F" w14:paraId="36260A6B" w14:textId="77777777" w:rsidTr="00FE200F">
        <w:tc>
          <w:tcPr>
            <w:cnfStyle w:val="001000000000" w:firstRow="0" w:lastRow="0" w:firstColumn="1" w:lastColumn="0" w:oddVBand="0" w:evenVBand="0" w:oddHBand="0" w:evenHBand="0" w:firstRowFirstColumn="0" w:firstRowLastColumn="0" w:lastRowFirstColumn="0" w:lastRowLastColumn="0"/>
            <w:tcW w:w="1993" w:type="dxa"/>
            <w:tcBorders>
              <w:right w:val="nil"/>
            </w:tcBorders>
          </w:tcPr>
          <w:p w14:paraId="04F5E0DA" w14:textId="77777777" w:rsidR="00FE200F" w:rsidRDefault="00E77CAF">
            <w:pPr>
              <w:jc w:val="both"/>
              <w:rPr>
                <w:rFonts w:ascii="Times New Roman" w:hAnsi="Times New Roman" w:cs="Times New Roman"/>
                <w:lang w:val="mk-MK"/>
              </w:rPr>
            </w:pPr>
            <w:r>
              <w:rPr>
                <w:rFonts w:ascii="Times New Roman" w:hAnsi="Times New Roman" w:cs="Times New Roman"/>
                <w:i/>
                <w:iCs/>
                <w:color w:val="auto"/>
                <w:lang w:val="mk-MK"/>
              </w:rPr>
              <w:t>ИМПАКТ</w:t>
            </w:r>
          </w:p>
        </w:tc>
        <w:tc>
          <w:tcPr>
            <w:tcW w:w="3371" w:type="dxa"/>
          </w:tcPr>
          <w:p w14:paraId="67BFBAC6"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 xml:space="preserve">Северна Македонија е регионален лидер во одговорна ВИ; Зголемена конкурентност и </w:t>
            </w:r>
            <w:r>
              <w:rPr>
                <w:rFonts w:ascii="Times New Roman" w:hAnsi="Times New Roman" w:cs="Times New Roman"/>
                <w:color w:val="auto"/>
                <w:lang w:val="mk-MK"/>
              </w:rPr>
              <w:lastRenderedPageBreak/>
              <w:t>забрзан БДП раст; Подобрена благосостојба на граѓаните преку подобри јавни услуги; Успешно пристапување кон ЕУ со целосна ВИ усогласеност</w:t>
            </w:r>
          </w:p>
        </w:tc>
        <w:tc>
          <w:tcPr>
            <w:tcW w:w="3139" w:type="dxa"/>
          </w:tcPr>
          <w:p w14:paraId="416D24E2"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lastRenderedPageBreak/>
              <w:t>Б</w:t>
            </w:r>
            <w:r>
              <w:rPr>
                <w:rFonts w:ascii="Times New Roman" w:hAnsi="Times New Roman" w:cs="Times New Roman"/>
                <w:color w:val="auto"/>
                <w:lang w:val="mk-MK"/>
              </w:rPr>
              <w:t xml:space="preserve">ДП раст поврзан со ВИ сектор; Позиција во ЕУ </w:t>
            </w:r>
            <w:r>
              <w:rPr>
                <w:rFonts w:ascii="Times New Roman" w:hAnsi="Times New Roman" w:cs="Times New Roman"/>
                <w:i/>
                <w:iCs/>
                <w:color w:val="auto"/>
                <w:lang w:val="mk-MK"/>
              </w:rPr>
              <w:t xml:space="preserve">AI </w:t>
            </w:r>
            <w:r>
              <w:rPr>
                <w:rFonts w:ascii="Times New Roman" w:hAnsi="Times New Roman" w:cs="Times New Roman"/>
                <w:i/>
                <w:iCs/>
                <w:color w:val="auto"/>
                <w:lang w:val="mk-MK"/>
              </w:rPr>
              <w:lastRenderedPageBreak/>
              <w:t>Index</w:t>
            </w:r>
            <w:r>
              <w:rPr>
                <w:rFonts w:ascii="Times New Roman" w:hAnsi="Times New Roman" w:cs="Times New Roman"/>
                <w:color w:val="auto"/>
                <w:lang w:val="mk-MK"/>
              </w:rPr>
              <w:t>; Напредок во ЕУ пристапниот процес</w:t>
            </w:r>
          </w:p>
        </w:tc>
        <w:tc>
          <w:tcPr>
            <w:tcW w:w="2412" w:type="dxa"/>
          </w:tcPr>
          <w:p w14:paraId="132CBB9C"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lastRenderedPageBreak/>
              <w:t>2030+</w:t>
            </w:r>
          </w:p>
        </w:tc>
      </w:tr>
    </w:tbl>
    <w:p w14:paraId="6C6A6DEE" w14:textId="77777777" w:rsidR="00FE200F" w:rsidRDefault="00FE200F">
      <w:pPr>
        <w:jc w:val="both"/>
        <w:rPr>
          <w:rFonts w:ascii="Times New Roman" w:hAnsi="Times New Roman" w:cs="Times New Roman"/>
          <w:color w:val="auto"/>
          <w:lang w:val="mk-MK"/>
        </w:rPr>
      </w:pPr>
    </w:p>
    <w:p w14:paraId="4A08331B" w14:textId="77777777" w:rsidR="00FE200F" w:rsidRDefault="00E77CAF">
      <w:pPr>
        <w:pStyle w:val="Heading3"/>
        <w:jc w:val="both"/>
        <w:rPr>
          <w:rFonts w:ascii="Times New Roman" w:hAnsi="Times New Roman" w:cs="Times New Roman"/>
          <w:lang w:val="mk-MK"/>
        </w:rPr>
      </w:pPr>
      <w:bookmarkStart w:id="103" w:name="_Toc240630077"/>
      <w:bookmarkStart w:id="104" w:name="_Toc243908020"/>
      <w:r>
        <w:rPr>
          <w:rFonts w:ascii="Times New Roman" w:hAnsi="Times New Roman" w:cs="Times New Roman"/>
          <w:color w:val="auto"/>
          <w:lang w:val="mk-MK"/>
        </w:rPr>
        <w:t>6.4 Клучни претпоставки за успех</w:t>
      </w:r>
      <w:bookmarkEnd w:id="103"/>
      <w:bookmarkEnd w:id="104"/>
    </w:p>
    <w:p w14:paraId="379D5F03"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Теоријата на промена е валидна само доколку се исполнат следните </w:t>
      </w:r>
      <w:r>
        <w:rPr>
          <w:rFonts w:ascii="Times New Roman" w:hAnsi="Times New Roman" w:cs="Times New Roman"/>
          <w:b/>
          <w:color w:val="auto"/>
          <w:lang w:val="mk-MK"/>
        </w:rPr>
        <w:t>критични претпоставки</w:t>
      </w:r>
      <w:r>
        <w:rPr>
          <w:rFonts w:ascii="Times New Roman" w:hAnsi="Times New Roman" w:cs="Times New Roman"/>
          <w:color w:val="auto"/>
          <w:lang w:val="mk-MK"/>
        </w:rPr>
        <w:t xml:space="preserve">. Нивното неисполнување директно ја </w:t>
      </w:r>
      <w:r>
        <w:rPr>
          <w:rFonts w:ascii="Times New Roman" w:hAnsi="Times New Roman" w:cs="Times New Roman"/>
          <w:color w:val="auto"/>
          <w:lang w:val="mk-MK"/>
        </w:rPr>
        <w:t>загрозува целата патека на промена:</w:t>
      </w:r>
    </w:p>
    <w:p w14:paraId="2B52C584" w14:textId="77777777" w:rsidR="00FE200F" w:rsidRDefault="00E77CAF">
      <w:pPr>
        <w:pStyle w:val="Heading4"/>
        <w:jc w:val="both"/>
        <w:rPr>
          <w:rFonts w:ascii="Times New Roman" w:hAnsi="Times New Roman" w:cs="Times New Roman"/>
          <w:lang w:val="mk-MK"/>
        </w:rPr>
      </w:pPr>
      <w:r>
        <w:rPr>
          <w:rFonts w:ascii="Times New Roman" w:hAnsi="Times New Roman" w:cs="Times New Roman"/>
          <w:i w:val="0"/>
          <w:iCs w:val="0"/>
          <w:color w:val="auto"/>
          <w:lang w:val="mk-MK"/>
        </w:rPr>
        <w:t>Претпоставка 1: Политичка стабилност и континуитет</w:t>
      </w:r>
    </w:p>
    <w:p w14:paraId="2170211C"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Успехот на Стратегијата бара минимум два последователни изборни циклуса на доследна имплементација. Ова претпоставува дека ВИ политиката ќе биде третирана како </w:t>
      </w:r>
      <w:r>
        <w:rPr>
          <w:rFonts w:ascii="Times New Roman" w:hAnsi="Times New Roman" w:cs="Times New Roman"/>
          <w:b/>
          <w:color w:val="auto"/>
          <w:lang w:val="mk-MK"/>
        </w:rPr>
        <w:t xml:space="preserve">државeн, </w:t>
      </w:r>
      <w:r>
        <w:rPr>
          <w:rFonts w:ascii="Times New Roman" w:hAnsi="Times New Roman" w:cs="Times New Roman"/>
          <w:b/>
          <w:color w:val="auto"/>
          <w:lang w:val="mk-MK"/>
        </w:rPr>
        <w:t>а не владин</w:t>
      </w:r>
      <w:r>
        <w:rPr>
          <w:rFonts w:ascii="Times New Roman" w:hAnsi="Times New Roman" w:cs="Times New Roman"/>
          <w:color w:val="auto"/>
          <w:lang w:val="mk-MK"/>
        </w:rPr>
        <w:t xml:space="preserve"> приоритет, заштитена преку меѓупартиски консензус вградена во ЕУ пристапните обврски кои се правно обврзувачки без оглед на политичките промени.</w:t>
      </w:r>
    </w:p>
    <w:p w14:paraId="65B305F0" w14:textId="77777777" w:rsidR="00FE200F" w:rsidRDefault="00E77CAF">
      <w:pPr>
        <w:pStyle w:val="Heading4"/>
        <w:jc w:val="both"/>
        <w:rPr>
          <w:rFonts w:ascii="Times New Roman" w:hAnsi="Times New Roman" w:cs="Times New Roman"/>
          <w:lang w:val="mk-MK"/>
        </w:rPr>
      </w:pPr>
      <w:r>
        <w:rPr>
          <w:rFonts w:ascii="Times New Roman" w:hAnsi="Times New Roman" w:cs="Times New Roman"/>
          <w:i w:val="0"/>
          <w:iCs w:val="0"/>
          <w:color w:val="auto"/>
          <w:lang w:val="mk-MK"/>
        </w:rPr>
        <w:t>Претпоставка 2: Ефективна апсорпција на ЕУ фондови</w:t>
      </w:r>
    </w:p>
    <w:p w14:paraId="1FF7AF11"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Голем дел од финансирањето зависи од ЕУ програми</w:t>
      </w:r>
      <w:r>
        <w:rPr>
          <w:rFonts w:ascii="Times New Roman" w:hAnsi="Times New Roman" w:cs="Times New Roman"/>
          <w:color w:val="auto"/>
          <w:lang w:val="mk-MK"/>
        </w:rPr>
        <w:t>. Ова претпоставува дека државата ќе го зголеми административниот капацитет за апсорпција на фондови — историски слаба точка. Без посветена единица за управување со ЕУ проекти во МДТ, ризикот од неискористување на фондовите е висок.</w:t>
      </w:r>
    </w:p>
    <w:p w14:paraId="7C03E1B5" w14:textId="77777777" w:rsidR="00FE200F" w:rsidRDefault="00E77CAF">
      <w:pPr>
        <w:pStyle w:val="Heading4"/>
        <w:jc w:val="both"/>
        <w:rPr>
          <w:rFonts w:ascii="Times New Roman" w:hAnsi="Times New Roman" w:cs="Times New Roman"/>
          <w:lang w:val="mk-MK"/>
        </w:rPr>
      </w:pPr>
      <w:r>
        <w:rPr>
          <w:rFonts w:ascii="Times New Roman" w:hAnsi="Times New Roman" w:cs="Times New Roman"/>
          <w:i w:val="0"/>
          <w:iCs w:val="0"/>
          <w:color w:val="auto"/>
          <w:lang w:val="mk-MK"/>
        </w:rPr>
        <w:t>Претпоставка 3: Активно</w:t>
      </w:r>
      <w:r>
        <w:rPr>
          <w:rFonts w:ascii="Times New Roman" w:hAnsi="Times New Roman" w:cs="Times New Roman"/>
          <w:i w:val="0"/>
          <w:iCs w:val="0"/>
          <w:color w:val="auto"/>
          <w:lang w:val="mk-MK"/>
        </w:rPr>
        <w:t xml:space="preserve"> учество на приватниот сектор</w:t>
      </w:r>
    </w:p>
    <w:p w14:paraId="3BF6E859"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Стратегијата претпоставува дека ИКТ компаниите ќе го трансформираат својот бизнис модел кон ВИ иновации. Ова бара не само регулаторна поддршка, туку и конкретни финансиски стимули (даночни олеснувања за </w:t>
      </w:r>
      <w:r>
        <w:rPr>
          <w:rFonts w:ascii="Times New Roman" w:hAnsi="Times New Roman" w:cs="Times New Roman"/>
          <w:i/>
          <w:iCs/>
          <w:color w:val="auto"/>
          <w:lang w:val="mk-MK"/>
        </w:rPr>
        <w:t>R&amp;D</w:t>
      </w:r>
      <w:r>
        <w:rPr>
          <w:rFonts w:ascii="Times New Roman" w:hAnsi="Times New Roman" w:cs="Times New Roman"/>
          <w:color w:val="auto"/>
          <w:lang w:val="mk-MK"/>
        </w:rPr>
        <w:t xml:space="preserve">, ко-финансирање на </w:t>
      </w:r>
      <w:r>
        <w:rPr>
          <w:rFonts w:ascii="Times New Roman" w:hAnsi="Times New Roman" w:cs="Times New Roman"/>
          <w:color w:val="auto"/>
          <w:lang w:val="mk-MK"/>
        </w:rPr>
        <w:t>пилот проекти) кои ги намалуваат трошоците за транзиција.</w:t>
      </w:r>
    </w:p>
    <w:p w14:paraId="0A3C6119" w14:textId="77777777" w:rsidR="00FE200F" w:rsidRDefault="00E77CAF">
      <w:pPr>
        <w:pStyle w:val="Heading4"/>
        <w:jc w:val="both"/>
        <w:rPr>
          <w:rFonts w:ascii="Times New Roman" w:hAnsi="Times New Roman" w:cs="Times New Roman"/>
          <w:lang w:val="mk-MK"/>
        </w:rPr>
      </w:pPr>
      <w:r>
        <w:rPr>
          <w:rFonts w:ascii="Times New Roman" w:hAnsi="Times New Roman" w:cs="Times New Roman"/>
          <w:i w:val="0"/>
          <w:iCs w:val="0"/>
          <w:color w:val="auto"/>
          <w:lang w:val="mk-MK"/>
        </w:rPr>
        <w:t>Претпоставка 4: Квалитетни и достапни државни податоци</w:t>
      </w:r>
    </w:p>
    <w:p w14:paraId="4965A97D"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Имплементацијата на ВИ во јавниот сектор е директно условена од достапноста на квалитетни, машински читливи и интероперабилни државни податоци.</w:t>
      </w:r>
      <w:r>
        <w:rPr>
          <w:rFonts w:ascii="Times New Roman" w:hAnsi="Times New Roman" w:cs="Times New Roman"/>
          <w:color w:val="auto"/>
          <w:lang w:val="mk-MK"/>
        </w:rPr>
        <w:t xml:space="preserve"> Без паралелна реформа на системите за управување со податоци, ВИ пилот проектите ќе се соочат со непремостливи технички бариери.</w:t>
      </w:r>
    </w:p>
    <w:p w14:paraId="5C23FD18" w14:textId="77777777" w:rsidR="00FE200F" w:rsidRDefault="00E77CAF">
      <w:pPr>
        <w:pStyle w:val="Heading4"/>
        <w:jc w:val="both"/>
        <w:rPr>
          <w:rFonts w:ascii="Times New Roman" w:hAnsi="Times New Roman" w:cs="Times New Roman"/>
          <w:lang w:val="mk-MK"/>
        </w:rPr>
      </w:pPr>
      <w:r>
        <w:rPr>
          <w:rFonts w:ascii="Times New Roman" w:hAnsi="Times New Roman" w:cs="Times New Roman"/>
          <w:i w:val="0"/>
          <w:iCs w:val="0"/>
          <w:color w:val="auto"/>
          <w:lang w:val="mk-MK"/>
        </w:rPr>
        <w:t>Претпоставка 5: Јавна доверба и социјална прифатливост</w:t>
      </w:r>
    </w:p>
    <w:p w14:paraId="6BB17601"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Технички совршените ВИ системи ќе пропаднат доколку граѓаните и вработе</w:t>
      </w:r>
      <w:r>
        <w:rPr>
          <w:rFonts w:ascii="Times New Roman" w:hAnsi="Times New Roman" w:cs="Times New Roman"/>
          <w:color w:val="auto"/>
          <w:lang w:val="mk-MK"/>
        </w:rPr>
        <w:t>ните во јавната администрација немаат доверба во нив. Ова претпоставува проактивна комуникациска стратегија, транспарентност за тоа кои одлуки ги донесуваат ВИ системите и достапни механизми за жалби и поплаки.</w:t>
      </w:r>
    </w:p>
    <w:p w14:paraId="120900F9" w14:textId="77777777" w:rsidR="00FE200F" w:rsidRDefault="00FE200F">
      <w:pPr>
        <w:jc w:val="both"/>
        <w:rPr>
          <w:rFonts w:ascii="Times New Roman" w:hAnsi="Times New Roman" w:cs="Times New Roman"/>
          <w:color w:val="auto"/>
          <w:lang w:val="mk-MK"/>
        </w:rPr>
      </w:pPr>
    </w:p>
    <w:p w14:paraId="7E7706A0" w14:textId="77777777" w:rsidR="00FE200F" w:rsidRDefault="00E77CAF">
      <w:pPr>
        <w:pStyle w:val="Heading3"/>
        <w:jc w:val="both"/>
        <w:rPr>
          <w:rFonts w:ascii="Times New Roman" w:hAnsi="Times New Roman" w:cs="Times New Roman"/>
          <w:lang w:val="mk-MK"/>
        </w:rPr>
      </w:pPr>
      <w:bookmarkStart w:id="105" w:name="_Toc240630078"/>
      <w:bookmarkStart w:id="106" w:name="_Toc243908021"/>
      <w:r>
        <w:rPr>
          <w:rFonts w:ascii="Times New Roman" w:hAnsi="Times New Roman" w:cs="Times New Roman"/>
          <w:color w:val="auto"/>
          <w:lang w:val="mk-MK"/>
        </w:rPr>
        <w:t>6.5 Ризици и стратегии за намалување</w:t>
      </w:r>
      <w:bookmarkEnd w:id="105"/>
      <w:bookmarkEnd w:id="106"/>
    </w:p>
    <w:tbl>
      <w:tblPr>
        <w:tblStyle w:val="GridTable5Dark-Accent5"/>
        <w:tblW w:w="9634" w:type="dxa"/>
        <w:tblInd w:w="113" w:type="dxa"/>
        <w:shd w:val="clear" w:color="auto" w:fill="DAEEF3"/>
        <w:tblLayout w:type="fixed"/>
        <w:tblLook w:val="04A0" w:firstRow="1" w:lastRow="0" w:firstColumn="1" w:lastColumn="0" w:noHBand="0" w:noVBand="1"/>
      </w:tblPr>
      <w:tblGrid>
        <w:gridCol w:w="2158"/>
        <w:gridCol w:w="1627"/>
        <w:gridCol w:w="1300"/>
        <w:gridCol w:w="2196"/>
        <w:gridCol w:w="2353"/>
      </w:tblGrid>
      <w:tr w:rsidR="00FE200F" w14:paraId="06BAA026" w14:textId="77777777" w:rsidTr="00FE20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8" w:type="dxa"/>
          </w:tcPr>
          <w:p w14:paraId="374634D7"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Ризик</w:t>
            </w:r>
          </w:p>
        </w:tc>
        <w:tc>
          <w:tcPr>
            <w:tcW w:w="1627" w:type="dxa"/>
            <w:tcBorders>
              <w:bottom w:val="nil"/>
            </w:tcBorders>
          </w:tcPr>
          <w:p w14:paraId="1B65FA98" w14:textId="77777777" w:rsidR="00FE200F" w:rsidRDefault="00E77CA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В</w:t>
            </w:r>
            <w:r>
              <w:rPr>
                <w:rFonts w:ascii="Times New Roman" w:hAnsi="Times New Roman" w:cs="Times New Roman"/>
                <w:color w:val="auto"/>
                <w:lang w:val="mk-MK"/>
              </w:rPr>
              <w:t>еројатност</w:t>
            </w:r>
          </w:p>
        </w:tc>
        <w:tc>
          <w:tcPr>
            <w:tcW w:w="1300" w:type="dxa"/>
            <w:tcBorders>
              <w:bottom w:val="nil"/>
            </w:tcBorders>
          </w:tcPr>
          <w:p w14:paraId="324B4E92" w14:textId="77777777" w:rsidR="00FE200F" w:rsidRDefault="00E77CA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Влијание</w:t>
            </w:r>
          </w:p>
        </w:tc>
        <w:tc>
          <w:tcPr>
            <w:tcW w:w="2196" w:type="dxa"/>
            <w:tcBorders>
              <w:bottom w:val="nil"/>
            </w:tcBorders>
          </w:tcPr>
          <w:p w14:paraId="0E11F71B" w14:textId="77777777" w:rsidR="00FE200F" w:rsidRDefault="00E77CA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Стратегија за намалување</w:t>
            </w:r>
          </w:p>
        </w:tc>
        <w:tc>
          <w:tcPr>
            <w:tcW w:w="2353" w:type="dxa"/>
            <w:tcBorders>
              <w:bottom w:val="nil"/>
            </w:tcBorders>
          </w:tcPr>
          <w:p w14:paraId="624185E5" w14:textId="77777777" w:rsidR="00FE200F" w:rsidRDefault="00E77CA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Одговорна институција</w:t>
            </w:r>
          </w:p>
        </w:tc>
      </w:tr>
      <w:tr w:rsidR="00FE200F" w14:paraId="660C4F58"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8" w:type="dxa"/>
            <w:tcBorders>
              <w:right w:val="nil"/>
            </w:tcBorders>
          </w:tcPr>
          <w:p w14:paraId="409E923E"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lastRenderedPageBreak/>
              <w:t>Политичка нестабилност и дисконтинуитет</w:t>
            </w:r>
          </w:p>
        </w:tc>
        <w:tc>
          <w:tcPr>
            <w:tcW w:w="1627" w:type="dxa"/>
          </w:tcPr>
          <w:p w14:paraId="1E5D3675"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Средна</w:t>
            </w:r>
          </w:p>
        </w:tc>
        <w:tc>
          <w:tcPr>
            <w:tcW w:w="1300" w:type="dxa"/>
          </w:tcPr>
          <w:p w14:paraId="78FEE97D"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Критично</w:t>
            </w:r>
          </w:p>
        </w:tc>
        <w:tc>
          <w:tcPr>
            <w:tcW w:w="2196" w:type="dxa"/>
          </w:tcPr>
          <w:p w14:paraId="66504915"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Меѓупартиски консензус; вградување во ЕУ обврски; Парламентарна комисија за ВИ</w:t>
            </w:r>
          </w:p>
        </w:tc>
        <w:tc>
          <w:tcPr>
            <w:tcW w:w="2353" w:type="dxa"/>
          </w:tcPr>
          <w:p w14:paraId="3110A164"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Собрание на РСМ</w:t>
            </w:r>
          </w:p>
        </w:tc>
      </w:tr>
      <w:tr w:rsidR="00FE200F" w14:paraId="02E418D8" w14:textId="77777777" w:rsidTr="00FE200F">
        <w:tc>
          <w:tcPr>
            <w:cnfStyle w:val="001000000000" w:firstRow="0" w:lastRow="0" w:firstColumn="1" w:lastColumn="0" w:oddVBand="0" w:evenVBand="0" w:oddHBand="0" w:evenHBand="0" w:firstRowFirstColumn="0" w:firstRowLastColumn="0" w:lastRowFirstColumn="0" w:lastRowLastColumn="0"/>
            <w:tcW w:w="2158" w:type="dxa"/>
            <w:tcBorders>
              <w:right w:val="nil"/>
            </w:tcBorders>
          </w:tcPr>
          <w:p w14:paraId="014CD0E5"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Недостаток на финансирање / слаба </w:t>
            </w:r>
            <w:r>
              <w:rPr>
                <w:rFonts w:ascii="Times New Roman" w:hAnsi="Times New Roman" w:cs="Times New Roman"/>
                <w:color w:val="auto"/>
                <w:lang w:val="mk-MK"/>
              </w:rPr>
              <w:t>апсорпција на ЕУ фондови</w:t>
            </w:r>
          </w:p>
        </w:tc>
        <w:tc>
          <w:tcPr>
            <w:tcW w:w="1627" w:type="dxa"/>
          </w:tcPr>
          <w:p w14:paraId="7AF68035"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Средна</w:t>
            </w:r>
          </w:p>
        </w:tc>
        <w:tc>
          <w:tcPr>
            <w:tcW w:w="1300" w:type="dxa"/>
          </w:tcPr>
          <w:p w14:paraId="5DA17919"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Висока</w:t>
            </w:r>
          </w:p>
        </w:tc>
        <w:tc>
          <w:tcPr>
            <w:tcW w:w="2196" w:type="dxa"/>
          </w:tcPr>
          <w:p w14:paraId="16AFA574"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Посветена единица за ЕУ проекти во МДТ; диверзификација на извори (ПЧП, УНДП, СЕ)</w:t>
            </w:r>
          </w:p>
        </w:tc>
        <w:tc>
          <w:tcPr>
            <w:tcW w:w="2353" w:type="dxa"/>
          </w:tcPr>
          <w:p w14:paraId="6B6AFFCC"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МДТ, МФ</w:t>
            </w:r>
          </w:p>
        </w:tc>
      </w:tr>
      <w:tr w:rsidR="00FE200F" w14:paraId="5F387AA7"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8" w:type="dxa"/>
            <w:tcBorders>
              <w:right w:val="nil"/>
            </w:tcBorders>
          </w:tcPr>
          <w:p w14:paraId="0399C0F5"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Отпор на јавноста и недоверба во ВИ</w:t>
            </w:r>
          </w:p>
        </w:tc>
        <w:tc>
          <w:tcPr>
            <w:tcW w:w="1627" w:type="dxa"/>
          </w:tcPr>
          <w:p w14:paraId="3C8C2A1C"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Средна</w:t>
            </w:r>
          </w:p>
        </w:tc>
        <w:tc>
          <w:tcPr>
            <w:tcW w:w="1300" w:type="dxa"/>
          </w:tcPr>
          <w:p w14:paraId="68383A00"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Средна</w:t>
            </w:r>
          </w:p>
        </w:tc>
        <w:tc>
          <w:tcPr>
            <w:tcW w:w="2196" w:type="dxa"/>
          </w:tcPr>
          <w:p w14:paraId="5015EF49"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 xml:space="preserve">Транспарентен регистар на ВИ системи; граѓански консултации; медиумска </w:t>
            </w:r>
            <w:r>
              <w:rPr>
                <w:rFonts w:ascii="Times New Roman" w:hAnsi="Times New Roman" w:cs="Times New Roman"/>
                <w:color w:val="auto"/>
                <w:lang w:val="mk-MK"/>
              </w:rPr>
              <w:t>кампања за ВИ писменост</w:t>
            </w:r>
          </w:p>
        </w:tc>
        <w:tc>
          <w:tcPr>
            <w:tcW w:w="2353" w:type="dxa"/>
          </w:tcPr>
          <w:p w14:paraId="7489A2D3"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МДТ, Граѓанско општество</w:t>
            </w:r>
          </w:p>
        </w:tc>
      </w:tr>
      <w:tr w:rsidR="00FE200F" w14:paraId="7AA80C3E" w14:textId="77777777" w:rsidTr="00FE200F">
        <w:tc>
          <w:tcPr>
            <w:cnfStyle w:val="001000000000" w:firstRow="0" w:lastRow="0" w:firstColumn="1" w:lastColumn="0" w:oddVBand="0" w:evenVBand="0" w:oddHBand="0" w:evenHBand="0" w:firstRowFirstColumn="0" w:firstRowLastColumn="0" w:lastRowFirstColumn="0" w:lastRowLastColumn="0"/>
            <w:tcW w:w="2158" w:type="dxa"/>
            <w:tcBorders>
              <w:right w:val="nil"/>
            </w:tcBorders>
          </w:tcPr>
          <w:p w14:paraId="14C63834"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Брзи технолошки промени (застарување на стратегијата)</w:t>
            </w:r>
          </w:p>
        </w:tc>
        <w:tc>
          <w:tcPr>
            <w:tcW w:w="1627" w:type="dxa"/>
          </w:tcPr>
          <w:p w14:paraId="1366ED13"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Висока</w:t>
            </w:r>
          </w:p>
        </w:tc>
        <w:tc>
          <w:tcPr>
            <w:tcW w:w="1300" w:type="dxa"/>
          </w:tcPr>
          <w:p w14:paraId="6EA19EA2"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Средна</w:t>
            </w:r>
          </w:p>
        </w:tc>
        <w:tc>
          <w:tcPr>
            <w:tcW w:w="2196" w:type="dxa"/>
          </w:tcPr>
          <w:p w14:paraId="494F978D"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Принципиелен пристап (наместо технолошко-специфичен); годишни ревизии на Акцискиот план</w:t>
            </w:r>
          </w:p>
        </w:tc>
        <w:tc>
          <w:tcPr>
            <w:tcW w:w="2353" w:type="dxa"/>
          </w:tcPr>
          <w:p w14:paraId="0D75C8E1"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МДТ, Национален орган за ВИ</w:t>
            </w:r>
          </w:p>
        </w:tc>
      </w:tr>
      <w:tr w:rsidR="00FE200F" w14:paraId="5583A19F"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8" w:type="dxa"/>
            <w:tcBorders>
              <w:right w:val="nil"/>
            </w:tcBorders>
          </w:tcPr>
          <w:p w14:paraId="1BEAA2AF"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Одлив на ВИ таленти</w:t>
            </w:r>
          </w:p>
        </w:tc>
        <w:tc>
          <w:tcPr>
            <w:tcW w:w="1627" w:type="dxa"/>
          </w:tcPr>
          <w:p w14:paraId="136FC64E"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Висока</w:t>
            </w:r>
          </w:p>
        </w:tc>
        <w:tc>
          <w:tcPr>
            <w:tcW w:w="1300" w:type="dxa"/>
          </w:tcPr>
          <w:p w14:paraId="421750B0"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Висока</w:t>
            </w:r>
          </w:p>
        </w:tc>
        <w:tc>
          <w:tcPr>
            <w:tcW w:w="2196" w:type="dxa"/>
          </w:tcPr>
          <w:p w14:paraId="137F4C2D"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Конкурентни плати во јавниот сектор; даночни олеснувања за критични кадри; програма за враќање на дијаспора; специјални визи за странски ВИ експерти</w:t>
            </w:r>
          </w:p>
        </w:tc>
        <w:tc>
          <w:tcPr>
            <w:tcW w:w="2353" w:type="dxa"/>
          </w:tcPr>
          <w:p w14:paraId="159A24D4"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МДТ, МОН, МЕТ</w:t>
            </w:r>
          </w:p>
        </w:tc>
      </w:tr>
      <w:tr w:rsidR="00FE200F" w14:paraId="6223CC1B" w14:textId="77777777" w:rsidTr="00FE200F">
        <w:tc>
          <w:tcPr>
            <w:cnfStyle w:val="001000000000" w:firstRow="0" w:lastRow="0" w:firstColumn="1" w:lastColumn="0" w:oddVBand="0" w:evenVBand="0" w:oddHBand="0" w:evenHBand="0" w:firstRowFirstColumn="0" w:firstRowLastColumn="0" w:lastRowFirstColumn="0" w:lastRowLastColumn="0"/>
            <w:tcW w:w="2158" w:type="dxa"/>
            <w:tcBorders>
              <w:right w:val="nil"/>
            </w:tcBorders>
          </w:tcPr>
          <w:p w14:paraId="35DC2AFA"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Алгоритамска пристрасност и дискриминација</w:t>
            </w:r>
          </w:p>
        </w:tc>
        <w:tc>
          <w:tcPr>
            <w:tcW w:w="1627" w:type="dxa"/>
          </w:tcPr>
          <w:p w14:paraId="5A6986F8"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Средна</w:t>
            </w:r>
          </w:p>
        </w:tc>
        <w:tc>
          <w:tcPr>
            <w:tcW w:w="1300" w:type="dxa"/>
          </w:tcPr>
          <w:p w14:paraId="1D6BC33E"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Висока</w:t>
            </w:r>
          </w:p>
        </w:tc>
        <w:tc>
          <w:tcPr>
            <w:tcW w:w="2196" w:type="dxa"/>
          </w:tcPr>
          <w:p w14:paraId="4A2DF19F"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Задолжителна проценка</w:t>
            </w:r>
            <w:r>
              <w:rPr>
                <w:rFonts w:ascii="Times New Roman" w:hAnsi="Times New Roman" w:cs="Times New Roman"/>
                <w:color w:val="auto"/>
                <w:lang w:val="mk-MK"/>
              </w:rPr>
              <w:t xml:space="preserve"> на ризик пред имплементација; независна ревизија на ВИ системи; </w:t>
            </w:r>
            <w:r>
              <w:rPr>
                <w:rFonts w:ascii="Times New Roman" w:hAnsi="Times New Roman" w:cs="Times New Roman"/>
                <w:i/>
                <w:iCs/>
                <w:color w:val="auto"/>
                <w:lang w:val="mk-MK"/>
              </w:rPr>
              <w:t>human-in-the-loop</w:t>
            </w:r>
            <w:r>
              <w:rPr>
                <w:rFonts w:ascii="Times New Roman" w:hAnsi="Times New Roman" w:cs="Times New Roman"/>
                <w:color w:val="auto"/>
                <w:lang w:val="mk-MK"/>
              </w:rPr>
              <w:t xml:space="preserve"> за критични одлуки</w:t>
            </w:r>
          </w:p>
        </w:tc>
        <w:tc>
          <w:tcPr>
            <w:tcW w:w="2353" w:type="dxa"/>
          </w:tcPr>
          <w:p w14:paraId="5F9B4145"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Национален орган за ВИ, АЗЛП</w:t>
            </w:r>
          </w:p>
        </w:tc>
      </w:tr>
      <w:tr w:rsidR="00FE200F" w14:paraId="2834ABBC"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8" w:type="dxa"/>
            <w:tcBorders>
              <w:right w:val="nil"/>
            </w:tcBorders>
          </w:tcPr>
          <w:p w14:paraId="125A120F"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Сајбер-напади и злоупотреба на ВИ</w:t>
            </w:r>
          </w:p>
        </w:tc>
        <w:tc>
          <w:tcPr>
            <w:tcW w:w="1627" w:type="dxa"/>
          </w:tcPr>
          <w:p w14:paraId="247392A8"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Средна</w:t>
            </w:r>
          </w:p>
        </w:tc>
        <w:tc>
          <w:tcPr>
            <w:tcW w:w="1300" w:type="dxa"/>
          </w:tcPr>
          <w:p w14:paraId="00CDFC45"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Висока</w:t>
            </w:r>
          </w:p>
        </w:tc>
        <w:tc>
          <w:tcPr>
            <w:tcW w:w="2196" w:type="dxa"/>
          </w:tcPr>
          <w:p w14:paraId="7953903F"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 xml:space="preserve">Национален центар за сајбер-безбедност; </w:t>
            </w:r>
            <w:r>
              <w:rPr>
                <w:rFonts w:ascii="Times New Roman" w:hAnsi="Times New Roman" w:cs="Times New Roman"/>
                <w:color w:val="auto"/>
                <w:lang w:val="mk-MK"/>
              </w:rPr>
              <w:lastRenderedPageBreak/>
              <w:t xml:space="preserve">редовни безбедносни проценки; </w:t>
            </w:r>
            <w:r>
              <w:rPr>
                <w:rFonts w:ascii="Times New Roman" w:hAnsi="Times New Roman" w:cs="Times New Roman"/>
                <w:color w:val="auto"/>
                <w:lang w:val="mk-MK"/>
              </w:rPr>
              <w:t>меѓународна соработка (</w:t>
            </w:r>
            <w:r>
              <w:rPr>
                <w:rFonts w:ascii="Times New Roman" w:hAnsi="Times New Roman" w:cs="Times New Roman"/>
                <w:i/>
                <w:iCs/>
                <w:color w:val="auto"/>
                <w:lang w:val="mk-MK"/>
              </w:rPr>
              <w:t>ENISA</w:t>
            </w:r>
            <w:r>
              <w:rPr>
                <w:rFonts w:ascii="Times New Roman" w:hAnsi="Times New Roman" w:cs="Times New Roman"/>
                <w:color w:val="auto"/>
                <w:lang w:val="mk-MK"/>
              </w:rPr>
              <w:t>)</w:t>
            </w:r>
          </w:p>
        </w:tc>
        <w:tc>
          <w:tcPr>
            <w:tcW w:w="2353" w:type="dxa"/>
          </w:tcPr>
          <w:p w14:paraId="15D1AF09"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lastRenderedPageBreak/>
              <w:t>МДТ</w:t>
            </w:r>
          </w:p>
        </w:tc>
      </w:tr>
      <w:tr w:rsidR="00FE200F" w14:paraId="79F4EA9C" w14:textId="77777777" w:rsidTr="00FE200F">
        <w:tc>
          <w:tcPr>
            <w:cnfStyle w:val="001000000000" w:firstRow="0" w:lastRow="0" w:firstColumn="1" w:lastColumn="0" w:oddVBand="0" w:evenVBand="0" w:oddHBand="0" w:evenHBand="0" w:firstRowFirstColumn="0" w:firstRowLastColumn="0" w:lastRowFirstColumn="0" w:lastRowLastColumn="0"/>
            <w:tcW w:w="2158" w:type="dxa"/>
            <w:tcBorders>
              <w:right w:val="nil"/>
            </w:tcBorders>
          </w:tcPr>
          <w:p w14:paraId="07AD1F5F"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lastRenderedPageBreak/>
              <w:t xml:space="preserve">Зависност од </w:t>
            </w:r>
            <w:r>
              <w:rPr>
                <w:rFonts w:ascii="Times New Roman" w:hAnsi="Times New Roman" w:cs="Times New Roman"/>
                <w:i/>
                <w:iCs/>
                <w:color w:val="auto"/>
                <w:lang w:val="mk-MK"/>
              </w:rPr>
              <w:t>Big Tech</w:t>
            </w:r>
            <w:r>
              <w:rPr>
                <w:rFonts w:ascii="Times New Roman" w:hAnsi="Times New Roman" w:cs="Times New Roman"/>
                <w:color w:val="auto"/>
                <w:lang w:val="mk-MK"/>
              </w:rPr>
              <w:t xml:space="preserve"> и губење на дигитален суверенитет</w:t>
            </w:r>
          </w:p>
        </w:tc>
        <w:tc>
          <w:tcPr>
            <w:tcW w:w="1627" w:type="dxa"/>
          </w:tcPr>
          <w:p w14:paraId="17992B59"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Висока</w:t>
            </w:r>
          </w:p>
        </w:tc>
        <w:tc>
          <w:tcPr>
            <w:tcW w:w="1300" w:type="dxa"/>
          </w:tcPr>
          <w:p w14:paraId="6A20B2C5"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Средна</w:t>
            </w:r>
          </w:p>
        </w:tc>
        <w:tc>
          <w:tcPr>
            <w:tcW w:w="2196" w:type="dxa"/>
          </w:tcPr>
          <w:p w14:paraId="03772DAD"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 xml:space="preserve">Приоритет на отворен код </w:t>
            </w:r>
            <w:r>
              <w:rPr>
                <w:rFonts w:ascii="Times New Roman" w:hAnsi="Times New Roman" w:cs="Times New Roman"/>
                <w:i/>
                <w:iCs/>
                <w:color w:val="auto"/>
                <w:lang w:val="mk-MK"/>
              </w:rPr>
              <w:t>(open-source</w:t>
            </w:r>
            <w:r>
              <w:rPr>
                <w:rFonts w:ascii="Times New Roman" w:hAnsi="Times New Roman" w:cs="Times New Roman"/>
                <w:color w:val="auto"/>
                <w:lang w:val="mk-MK"/>
              </w:rPr>
              <w:t xml:space="preserve">); регионален </w:t>
            </w:r>
            <w:r>
              <w:rPr>
                <w:rFonts w:ascii="Times New Roman" w:hAnsi="Times New Roman" w:cs="Times New Roman"/>
                <w:i/>
                <w:iCs/>
                <w:color w:val="auto"/>
                <w:lang w:val="mk-MK"/>
              </w:rPr>
              <w:t>HPC</w:t>
            </w:r>
            <w:r>
              <w:rPr>
                <w:rFonts w:ascii="Times New Roman" w:hAnsi="Times New Roman" w:cs="Times New Roman"/>
                <w:color w:val="auto"/>
                <w:lang w:val="mk-MK"/>
              </w:rPr>
              <w:t xml:space="preserve"> конзорциум; </w:t>
            </w:r>
            <w:r>
              <w:rPr>
                <w:rFonts w:ascii="Times New Roman" w:hAnsi="Times New Roman" w:cs="Times New Roman"/>
                <w:i/>
                <w:iCs/>
                <w:color w:val="auto"/>
                <w:lang w:val="mk-MK"/>
              </w:rPr>
              <w:t>EU Cloud</w:t>
            </w:r>
            <w:r>
              <w:rPr>
                <w:rFonts w:ascii="Times New Roman" w:hAnsi="Times New Roman" w:cs="Times New Roman"/>
                <w:color w:val="auto"/>
                <w:lang w:val="mk-MK"/>
              </w:rPr>
              <w:t xml:space="preserve"> правила</w:t>
            </w:r>
          </w:p>
        </w:tc>
        <w:tc>
          <w:tcPr>
            <w:tcW w:w="2353" w:type="dxa"/>
          </w:tcPr>
          <w:p w14:paraId="0E1FEDDD"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МДТ, Национален орган за ВИ</w:t>
            </w:r>
          </w:p>
        </w:tc>
      </w:tr>
    </w:tbl>
    <w:p w14:paraId="43D94CC5" w14:textId="77777777" w:rsidR="00FE200F" w:rsidRDefault="00FE200F">
      <w:pPr>
        <w:jc w:val="both"/>
        <w:rPr>
          <w:rFonts w:ascii="Times New Roman" w:hAnsi="Times New Roman" w:cs="Times New Roman"/>
          <w:color w:val="auto"/>
          <w:lang w:val="mk-MK"/>
        </w:rPr>
      </w:pPr>
    </w:p>
    <w:p w14:paraId="02630334" w14:textId="77777777" w:rsidR="00FE200F" w:rsidRDefault="00E77CAF">
      <w:pPr>
        <w:pStyle w:val="Heading3"/>
        <w:jc w:val="both"/>
        <w:rPr>
          <w:rFonts w:ascii="Times New Roman" w:hAnsi="Times New Roman" w:cs="Times New Roman"/>
          <w:lang w:val="mk-MK"/>
        </w:rPr>
      </w:pPr>
      <w:bookmarkStart w:id="107" w:name="_Toc240630079"/>
      <w:bookmarkStart w:id="108" w:name="_Toc243908022"/>
      <w:r>
        <w:rPr>
          <w:rFonts w:ascii="Times New Roman" w:hAnsi="Times New Roman" w:cs="Times New Roman"/>
          <w:color w:val="auto"/>
          <w:lang w:val="mk-MK"/>
        </w:rPr>
        <w:t xml:space="preserve">6.6 Механизми за мониторинг и </w:t>
      </w:r>
      <w:r>
        <w:rPr>
          <w:rFonts w:ascii="Times New Roman" w:hAnsi="Times New Roman" w:cs="Times New Roman"/>
          <w:color w:val="auto"/>
          <w:lang w:val="mk-MK"/>
        </w:rPr>
        <w:t>адаптација</w:t>
      </w:r>
      <w:bookmarkEnd w:id="107"/>
      <w:bookmarkEnd w:id="108"/>
    </w:p>
    <w:p w14:paraId="2B7E8901"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Теоријата на промена не е статичен документ — таа мора да се адаптира врз основа на искуствата од имплементацијата. Предложениот систем за мониторинг вклучува три нивоа:</w:t>
      </w:r>
    </w:p>
    <w:p w14:paraId="305ABE2A"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Оперативен мониторинг (квартален):</w:t>
      </w:r>
      <w:r>
        <w:rPr>
          <w:rFonts w:ascii="Times New Roman" w:hAnsi="Times New Roman" w:cs="Times New Roman"/>
          <w:color w:val="auto"/>
          <w:lang w:val="mk-MK"/>
        </w:rPr>
        <w:t xml:space="preserve"> МДТ го следи напредокот на активностите </w:t>
      </w:r>
      <w:r>
        <w:rPr>
          <w:rFonts w:ascii="Times New Roman" w:hAnsi="Times New Roman" w:cs="Times New Roman"/>
          <w:color w:val="auto"/>
          <w:lang w:val="mk-MK"/>
        </w:rPr>
        <w:t>и излезните податоци преку дигитална контролна табла (</w:t>
      </w:r>
      <w:r>
        <w:rPr>
          <w:rFonts w:ascii="Times New Roman" w:hAnsi="Times New Roman" w:cs="Times New Roman"/>
          <w:i/>
          <w:iCs/>
          <w:color w:val="auto"/>
          <w:lang w:val="mk-MK"/>
        </w:rPr>
        <w:t>dashboard</w:t>
      </w:r>
      <w:r>
        <w:rPr>
          <w:rFonts w:ascii="Times New Roman" w:hAnsi="Times New Roman" w:cs="Times New Roman"/>
          <w:color w:val="auto"/>
          <w:lang w:val="mk-MK"/>
        </w:rPr>
        <w:t>) со клучни индикатори. Квартален извештај се доставува до Владата.</w:t>
      </w:r>
    </w:p>
    <w:p w14:paraId="243E10B9"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Независна проценка на напредокот кон исходите, со учество на сите засегнати страни. Резултатите се јавно достапни и служат за</w:t>
      </w:r>
      <w:r>
        <w:rPr>
          <w:rFonts w:ascii="Times New Roman" w:hAnsi="Times New Roman" w:cs="Times New Roman"/>
          <w:b/>
          <w:color w:val="auto"/>
          <w:lang w:val="mk-MK"/>
        </w:rPr>
        <w:t xml:space="preserve"> ажурирање на Акцискиот план.</w:t>
      </w:r>
    </w:p>
    <w:p w14:paraId="7C145D46"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 xml:space="preserve">Среднорочна евалуација (2029): Сеопфатна независна евалуација на Стратегијата, вклучувајќи проценка на релевантноста, ефикасноста и одржливоста на постигнатите резултати. Наодите непосредно информираат за евентуално ажурирање </w:t>
      </w:r>
      <w:r>
        <w:rPr>
          <w:rFonts w:ascii="Times New Roman" w:hAnsi="Times New Roman" w:cs="Times New Roman"/>
          <w:b/>
          <w:color w:val="auto"/>
          <w:lang w:val="mk-MK"/>
        </w:rPr>
        <w:t>на Акцискиот план за периодот 2030–2032. Дополнително, во рамките на годишниот стратешки преглед, МДТ ќе го следи напредокот на Македонија во Oxford Insights Government AI Readiness Index преку сите шест димензии и ќе ги публикува резултатите во форма на Н</w:t>
      </w:r>
      <w:r>
        <w:rPr>
          <w:rFonts w:ascii="Times New Roman" w:hAnsi="Times New Roman" w:cs="Times New Roman"/>
          <w:b/>
          <w:color w:val="auto"/>
          <w:lang w:val="mk-MK"/>
        </w:rPr>
        <w:t>ационален ВИ Барометар. Целните вредности се проверуваат со изворната публикација и се толкуваат заедно со националните показатели за спроведување и реални исходи.</w:t>
      </w:r>
    </w:p>
    <w:p w14:paraId="344B3EFE" w14:textId="77777777" w:rsidR="00FE200F" w:rsidRDefault="00E77CAF">
      <w:pPr>
        <w:spacing w:after="200" w:line="276" w:lineRule="auto"/>
        <w:rPr>
          <w:rFonts w:ascii="Times New Roman" w:hAnsi="Times New Roman" w:cs="Times New Roman"/>
          <w:color w:val="auto"/>
          <w:lang w:val="mk-MK"/>
        </w:rPr>
      </w:pPr>
      <w:r>
        <w:br w:type="page"/>
      </w:r>
    </w:p>
    <w:p w14:paraId="45BC53CA" w14:textId="77777777" w:rsidR="00FE200F" w:rsidRDefault="00E77CAF">
      <w:pPr>
        <w:pStyle w:val="Heading2"/>
        <w:spacing w:before="0"/>
        <w:jc w:val="center"/>
        <w:rPr>
          <w:rFonts w:ascii="Times New Roman" w:hAnsi="Times New Roman" w:cs="Times New Roman"/>
          <w:lang w:val="mk-MK"/>
        </w:rPr>
      </w:pPr>
      <w:bookmarkStart w:id="109" w:name="_Toc240630080"/>
      <w:bookmarkStart w:id="110" w:name="_Toc243908023"/>
      <w:r>
        <w:rPr>
          <w:rFonts w:ascii="Times New Roman" w:hAnsi="Times New Roman" w:cs="Times New Roman"/>
          <w:color w:val="auto"/>
          <w:lang w:val="mk-MK"/>
        </w:rPr>
        <w:lastRenderedPageBreak/>
        <w:t>7. ЛОГИЧКА РАМКА</w:t>
      </w:r>
      <w:bookmarkEnd w:id="109"/>
      <w:bookmarkEnd w:id="110"/>
    </w:p>
    <w:tbl>
      <w:tblPr>
        <w:tblStyle w:val="GridTable5Dark-Accent5"/>
        <w:tblW w:w="9430" w:type="dxa"/>
        <w:tblInd w:w="-5" w:type="dxa"/>
        <w:shd w:val="clear" w:color="auto" w:fill="DAEEF3"/>
        <w:tblLayout w:type="fixed"/>
        <w:tblLook w:val="04A0" w:firstRow="1" w:lastRow="0" w:firstColumn="1" w:lastColumn="0" w:noHBand="0" w:noVBand="1"/>
      </w:tblPr>
      <w:tblGrid>
        <w:gridCol w:w="1559"/>
        <w:gridCol w:w="1674"/>
        <w:gridCol w:w="1782"/>
        <w:gridCol w:w="1222"/>
        <w:gridCol w:w="1562"/>
        <w:gridCol w:w="1631"/>
      </w:tblGrid>
      <w:tr w:rsidR="00FE200F" w14:paraId="1758FDEE" w14:textId="77777777" w:rsidTr="00FE20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Pr>
          <w:p w14:paraId="64E74B17"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Ниво</w:t>
            </w:r>
          </w:p>
        </w:tc>
        <w:tc>
          <w:tcPr>
            <w:tcW w:w="1674" w:type="dxa"/>
            <w:tcBorders>
              <w:bottom w:val="nil"/>
            </w:tcBorders>
          </w:tcPr>
          <w:p w14:paraId="1838A1FA" w14:textId="77777777" w:rsidR="00FE200F" w:rsidRDefault="00E77CA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Опис</w:t>
            </w:r>
          </w:p>
        </w:tc>
        <w:tc>
          <w:tcPr>
            <w:tcW w:w="1782" w:type="dxa"/>
            <w:tcBorders>
              <w:bottom w:val="nil"/>
            </w:tcBorders>
          </w:tcPr>
          <w:p w14:paraId="4FAAA785" w14:textId="77777777" w:rsidR="00FE200F" w:rsidRDefault="00E77CA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Индикатор</w:t>
            </w:r>
          </w:p>
        </w:tc>
        <w:tc>
          <w:tcPr>
            <w:tcW w:w="1222" w:type="dxa"/>
            <w:tcBorders>
              <w:bottom w:val="nil"/>
            </w:tcBorders>
          </w:tcPr>
          <w:p w14:paraId="60E97FE4" w14:textId="77777777" w:rsidR="00FE200F" w:rsidRDefault="00E77CA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Базна вредност</w:t>
            </w:r>
          </w:p>
        </w:tc>
        <w:tc>
          <w:tcPr>
            <w:tcW w:w="1562" w:type="dxa"/>
            <w:tcBorders>
              <w:bottom w:val="nil"/>
            </w:tcBorders>
          </w:tcPr>
          <w:p w14:paraId="78DC4137" w14:textId="77777777" w:rsidR="00FE200F" w:rsidRDefault="00E77CA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Целна вредност (2028)</w:t>
            </w:r>
          </w:p>
        </w:tc>
        <w:tc>
          <w:tcPr>
            <w:tcW w:w="1631" w:type="dxa"/>
            <w:tcBorders>
              <w:bottom w:val="nil"/>
            </w:tcBorders>
          </w:tcPr>
          <w:p w14:paraId="34BED0B2" w14:textId="77777777" w:rsidR="00FE200F" w:rsidRDefault="00E77CA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Извор на верифик</w:t>
            </w:r>
            <w:r>
              <w:rPr>
                <w:rFonts w:ascii="Times New Roman" w:hAnsi="Times New Roman" w:cs="Times New Roman"/>
                <w:color w:val="auto"/>
                <w:lang w:val="mk-MK"/>
              </w:rPr>
              <w:t>ација</w:t>
            </w:r>
          </w:p>
        </w:tc>
      </w:tr>
      <w:tr w:rsidR="00FE200F" w14:paraId="7F9B4635"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Borders>
              <w:right w:val="nil"/>
            </w:tcBorders>
          </w:tcPr>
          <w:p w14:paraId="4C124EF4" w14:textId="77777777" w:rsidR="00FE200F" w:rsidRDefault="00E77CAF">
            <w:pPr>
              <w:jc w:val="both"/>
              <w:rPr>
                <w:rFonts w:ascii="Times New Roman" w:hAnsi="Times New Roman" w:cs="Times New Roman"/>
                <w:lang w:val="mk-MK"/>
              </w:rPr>
            </w:pPr>
            <w:r>
              <w:rPr>
                <w:rFonts w:ascii="Times New Roman" w:hAnsi="Times New Roman" w:cs="Times New Roman"/>
                <w:i/>
                <w:iCs/>
                <w:color w:val="auto"/>
                <w:lang w:val="mk-MK"/>
              </w:rPr>
              <w:t>ИМПАКТ</w:t>
            </w:r>
          </w:p>
        </w:tc>
        <w:tc>
          <w:tcPr>
            <w:tcW w:w="1674" w:type="dxa"/>
          </w:tcPr>
          <w:p w14:paraId="756BC905"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С. Македонија – регионален лидер во одговорна ВИ</w:t>
            </w:r>
          </w:p>
        </w:tc>
        <w:tc>
          <w:tcPr>
            <w:tcW w:w="1782" w:type="dxa"/>
          </w:tcPr>
          <w:p w14:paraId="430BB19D"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 xml:space="preserve">Позиција на </w:t>
            </w:r>
            <w:r>
              <w:rPr>
                <w:rFonts w:ascii="Times New Roman" w:hAnsi="Times New Roman" w:cs="Times New Roman"/>
                <w:i/>
                <w:iCs/>
                <w:color w:val="auto"/>
                <w:lang w:val="mk-MK"/>
              </w:rPr>
              <w:t>OECD AI Readiness Index</w:t>
            </w:r>
          </w:p>
        </w:tc>
        <w:tc>
          <w:tcPr>
            <w:tcW w:w="1222" w:type="dxa"/>
          </w:tcPr>
          <w:p w14:paraId="32A9A3FC"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Не рангирана</w:t>
            </w:r>
          </w:p>
        </w:tc>
        <w:tc>
          <w:tcPr>
            <w:tcW w:w="1562" w:type="dxa"/>
          </w:tcPr>
          <w:p w14:paraId="3104CD1E"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Топ 3 во ЗБ</w:t>
            </w:r>
          </w:p>
        </w:tc>
        <w:tc>
          <w:tcPr>
            <w:tcW w:w="1631" w:type="dxa"/>
          </w:tcPr>
          <w:p w14:paraId="203DD82F"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i/>
                <w:iCs/>
                <w:color w:val="auto"/>
                <w:lang w:val="mk-MK"/>
              </w:rPr>
              <w:t>OECD</w:t>
            </w:r>
            <w:r>
              <w:rPr>
                <w:rFonts w:ascii="Times New Roman" w:hAnsi="Times New Roman" w:cs="Times New Roman"/>
                <w:color w:val="auto"/>
                <w:lang w:val="mk-MK"/>
              </w:rPr>
              <w:t xml:space="preserve"> годишен извештај</w:t>
            </w:r>
          </w:p>
        </w:tc>
      </w:tr>
      <w:tr w:rsidR="00FE200F" w14:paraId="17B7C80F" w14:textId="77777777" w:rsidTr="00FE200F">
        <w:tc>
          <w:tcPr>
            <w:cnfStyle w:val="001000000000" w:firstRow="0" w:lastRow="0" w:firstColumn="1" w:lastColumn="0" w:oddVBand="0" w:evenVBand="0" w:oddHBand="0" w:evenHBand="0" w:firstRowFirstColumn="0" w:firstRowLastColumn="0" w:lastRowFirstColumn="0" w:lastRowLastColumn="0"/>
            <w:tcW w:w="1558" w:type="dxa"/>
            <w:tcBorders>
              <w:right w:val="nil"/>
            </w:tcBorders>
          </w:tcPr>
          <w:p w14:paraId="02E155DF" w14:textId="77777777" w:rsidR="00FE200F" w:rsidRDefault="00E77CAF">
            <w:pPr>
              <w:jc w:val="both"/>
              <w:rPr>
                <w:rFonts w:ascii="Times New Roman" w:hAnsi="Times New Roman" w:cs="Times New Roman"/>
                <w:lang w:val="mk-MK"/>
              </w:rPr>
            </w:pPr>
            <w:r>
              <w:rPr>
                <w:rFonts w:ascii="Times New Roman" w:hAnsi="Times New Roman" w:cs="Times New Roman"/>
                <w:i/>
                <w:iCs/>
                <w:color w:val="auto"/>
                <w:lang w:val="mk-MK"/>
              </w:rPr>
              <w:t>ИСХОД 1</w:t>
            </w:r>
          </w:p>
        </w:tc>
        <w:tc>
          <w:tcPr>
            <w:tcW w:w="1674" w:type="dxa"/>
          </w:tcPr>
          <w:p w14:paraId="19A7EDCF"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Функционална правна и регулаторна рамка за ВИ</w:t>
            </w:r>
          </w:p>
        </w:tc>
        <w:tc>
          <w:tcPr>
            <w:tcW w:w="1782" w:type="dxa"/>
          </w:tcPr>
          <w:p w14:paraId="5A5ACE9B"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Усвоен Закон за ВИ</w:t>
            </w:r>
          </w:p>
        </w:tc>
        <w:tc>
          <w:tcPr>
            <w:tcW w:w="1222" w:type="dxa"/>
          </w:tcPr>
          <w:p w14:paraId="68B4E7D3"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Нема</w:t>
            </w:r>
          </w:p>
        </w:tc>
        <w:tc>
          <w:tcPr>
            <w:tcW w:w="1562" w:type="dxa"/>
          </w:tcPr>
          <w:p w14:paraId="7F2E697B"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Усвоен до Q4 2027</w:t>
            </w:r>
          </w:p>
        </w:tc>
        <w:tc>
          <w:tcPr>
            <w:tcW w:w="1631" w:type="dxa"/>
          </w:tcPr>
          <w:p w14:paraId="3291A01A"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 xml:space="preserve">Службен </w:t>
            </w:r>
            <w:r>
              <w:rPr>
                <w:rFonts w:ascii="Times New Roman" w:hAnsi="Times New Roman" w:cs="Times New Roman"/>
                <w:color w:val="auto"/>
                <w:lang w:val="mk-MK"/>
              </w:rPr>
              <w:t>весник</w:t>
            </w:r>
          </w:p>
        </w:tc>
      </w:tr>
      <w:tr w:rsidR="00FE200F" w14:paraId="6BD6EB60"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Borders>
              <w:right w:val="nil"/>
            </w:tcBorders>
          </w:tcPr>
          <w:p w14:paraId="0082AD49" w14:textId="77777777" w:rsidR="00FE200F" w:rsidRDefault="00E77CAF">
            <w:pPr>
              <w:jc w:val="both"/>
              <w:rPr>
                <w:rFonts w:ascii="Times New Roman" w:hAnsi="Times New Roman" w:cs="Times New Roman"/>
                <w:lang w:val="mk-MK"/>
              </w:rPr>
            </w:pPr>
            <w:r>
              <w:rPr>
                <w:rFonts w:ascii="Times New Roman" w:hAnsi="Times New Roman" w:cs="Times New Roman"/>
                <w:i/>
                <w:iCs/>
                <w:color w:val="auto"/>
                <w:lang w:val="mk-MK"/>
              </w:rPr>
              <w:t>ИСХОД 2</w:t>
            </w:r>
          </w:p>
        </w:tc>
        <w:tc>
          <w:tcPr>
            <w:tcW w:w="1674" w:type="dxa"/>
          </w:tcPr>
          <w:p w14:paraId="303E8816"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Зголемени ВИ инвестиции и иновации</w:t>
            </w:r>
          </w:p>
        </w:tc>
        <w:tc>
          <w:tcPr>
            <w:tcW w:w="1782" w:type="dxa"/>
          </w:tcPr>
          <w:p w14:paraId="69F7812B"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Раст на ВИ инвестиции</w:t>
            </w:r>
          </w:p>
        </w:tc>
        <w:tc>
          <w:tcPr>
            <w:tcW w:w="1222" w:type="dxa"/>
          </w:tcPr>
          <w:p w14:paraId="57233768"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Нема</w:t>
            </w:r>
          </w:p>
        </w:tc>
        <w:tc>
          <w:tcPr>
            <w:tcW w:w="1562" w:type="dxa"/>
          </w:tcPr>
          <w:p w14:paraId="7D117EC6"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+30% годишно</w:t>
            </w:r>
          </w:p>
        </w:tc>
        <w:tc>
          <w:tcPr>
            <w:tcW w:w="1631" w:type="dxa"/>
          </w:tcPr>
          <w:p w14:paraId="233964A6"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ДЗС, ИНОВА извештаи</w:t>
            </w:r>
          </w:p>
        </w:tc>
      </w:tr>
      <w:tr w:rsidR="00FE200F" w14:paraId="03085520" w14:textId="77777777" w:rsidTr="00FE200F">
        <w:tc>
          <w:tcPr>
            <w:cnfStyle w:val="001000000000" w:firstRow="0" w:lastRow="0" w:firstColumn="1" w:lastColumn="0" w:oddVBand="0" w:evenVBand="0" w:oddHBand="0" w:evenHBand="0" w:firstRowFirstColumn="0" w:firstRowLastColumn="0" w:lastRowFirstColumn="0" w:lastRowLastColumn="0"/>
            <w:tcW w:w="1558" w:type="dxa"/>
            <w:tcBorders>
              <w:right w:val="nil"/>
            </w:tcBorders>
          </w:tcPr>
          <w:p w14:paraId="2F10AF1F" w14:textId="77777777" w:rsidR="00FE200F" w:rsidRDefault="00E77CAF">
            <w:pPr>
              <w:jc w:val="both"/>
              <w:rPr>
                <w:rFonts w:ascii="Times New Roman" w:hAnsi="Times New Roman" w:cs="Times New Roman"/>
                <w:lang w:val="mk-MK"/>
              </w:rPr>
            </w:pPr>
            <w:r>
              <w:rPr>
                <w:rFonts w:ascii="Times New Roman" w:hAnsi="Times New Roman" w:cs="Times New Roman"/>
                <w:i/>
                <w:iCs/>
                <w:color w:val="auto"/>
                <w:lang w:val="mk-MK"/>
              </w:rPr>
              <w:t>ИСХОД 3</w:t>
            </w:r>
          </w:p>
        </w:tc>
        <w:tc>
          <w:tcPr>
            <w:tcW w:w="1674" w:type="dxa"/>
          </w:tcPr>
          <w:p w14:paraId="2E1B0BA9"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Подобрени јавни услуги преку ВИ</w:t>
            </w:r>
          </w:p>
        </w:tc>
        <w:tc>
          <w:tcPr>
            <w:tcW w:w="1782" w:type="dxa"/>
          </w:tcPr>
          <w:p w14:paraId="5E9B0C3D"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Број на функционални ВИ имплементации</w:t>
            </w:r>
          </w:p>
        </w:tc>
        <w:tc>
          <w:tcPr>
            <w:tcW w:w="1222" w:type="dxa"/>
          </w:tcPr>
          <w:p w14:paraId="7D3162B0"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0</w:t>
            </w:r>
          </w:p>
        </w:tc>
        <w:tc>
          <w:tcPr>
            <w:tcW w:w="1562" w:type="dxa"/>
          </w:tcPr>
          <w:p w14:paraId="6AA3F4AB"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5 пилот проекти (поврзани со 500-те е-услуги од РЈА)</w:t>
            </w:r>
          </w:p>
        </w:tc>
        <w:tc>
          <w:tcPr>
            <w:tcW w:w="1631" w:type="dxa"/>
          </w:tcPr>
          <w:p w14:paraId="2EEE3231"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 xml:space="preserve">МДТ </w:t>
            </w:r>
            <w:r>
              <w:rPr>
                <w:rFonts w:ascii="Times New Roman" w:hAnsi="Times New Roman" w:cs="Times New Roman"/>
                <w:color w:val="auto"/>
                <w:lang w:val="mk-MK"/>
              </w:rPr>
              <w:t>мониторинг</w:t>
            </w:r>
          </w:p>
        </w:tc>
      </w:tr>
      <w:tr w:rsidR="00FE200F" w14:paraId="312148BE"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Borders>
              <w:right w:val="nil"/>
            </w:tcBorders>
          </w:tcPr>
          <w:p w14:paraId="71B65F80" w14:textId="77777777" w:rsidR="00FE200F" w:rsidRDefault="00E77CAF">
            <w:pPr>
              <w:jc w:val="both"/>
              <w:rPr>
                <w:rFonts w:ascii="Times New Roman" w:hAnsi="Times New Roman" w:cs="Times New Roman"/>
                <w:lang w:val="mk-MK"/>
              </w:rPr>
            </w:pPr>
            <w:r>
              <w:rPr>
                <w:rFonts w:ascii="Times New Roman" w:hAnsi="Times New Roman" w:cs="Times New Roman"/>
                <w:i/>
                <w:iCs/>
                <w:color w:val="auto"/>
                <w:lang w:val="mk-MK"/>
              </w:rPr>
              <w:t>РЕЗУЛТАТ 1</w:t>
            </w:r>
          </w:p>
        </w:tc>
        <w:tc>
          <w:tcPr>
            <w:tcW w:w="1674" w:type="dxa"/>
          </w:tcPr>
          <w:p w14:paraId="7C7A9827"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Национален орган за ВИ воспоставен</w:t>
            </w:r>
          </w:p>
        </w:tc>
        <w:tc>
          <w:tcPr>
            <w:tcW w:w="1782" w:type="dxa"/>
          </w:tcPr>
          <w:p w14:paraId="062BFB18"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Орган функционира</w:t>
            </w:r>
          </w:p>
        </w:tc>
        <w:tc>
          <w:tcPr>
            <w:tcW w:w="1222" w:type="dxa"/>
          </w:tcPr>
          <w:p w14:paraId="604C82FC"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Нема</w:t>
            </w:r>
          </w:p>
        </w:tc>
        <w:tc>
          <w:tcPr>
            <w:tcW w:w="1562" w:type="dxa"/>
          </w:tcPr>
          <w:p w14:paraId="7249F162"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Функционира до Q4 2027</w:t>
            </w:r>
          </w:p>
        </w:tc>
        <w:tc>
          <w:tcPr>
            <w:tcW w:w="1631" w:type="dxa"/>
          </w:tcPr>
          <w:p w14:paraId="19BE35C3"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Влада на РСМ</w:t>
            </w:r>
          </w:p>
        </w:tc>
      </w:tr>
      <w:tr w:rsidR="00FE200F" w14:paraId="108E1DE9" w14:textId="77777777" w:rsidTr="00FE200F">
        <w:tc>
          <w:tcPr>
            <w:cnfStyle w:val="001000000000" w:firstRow="0" w:lastRow="0" w:firstColumn="1" w:lastColumn="0" w:oddVBand="0" w:evenVBand="0" w:oddHBand="0" w:evenHBand="0" w:firstRowFirstColumn="0" w:firstRowLastColumn="0" w:lastRowFirstColumn="0" w:lastRowLastColumn="0"/>
            <w:tcW w:w="1558" w:type="dxa"/>
            <w:tcBorders>
              <w:right w:val="nil"/>
            </w:tcBorders>
          </w:tcPr>
          <w:p w14:paraId="64F05EC3" w14:textId="77777777" w:rsidR="00FE200F" w:rsidRDefault="00E77CAF">
            <w:pPr>
              <w:jc w:val="both"/>
              <w:rPr>
                <w:rFonts w:ascii="Times New Roman" w:hAnsi="Times New Roman" w:cs="Times New Roman"/>
                <w:lang w:val="mk-MK"/>
              </w:rPr>
            </w:pPr>
            <w:r>
              <w:rPr>
                <w:rFonts w:ascii="Times New Roman" w:hAnsi="Times New Roman" w:cs="Times New Roman"/>
                <w:i/>
                <w:iCs/>
                <w:color w:val="auto"/>
                <w:lang w:val="mk-MK"/>
              </w:rPr>
              <w:t>РЕЗУЛТАТ 2</w:t>
            </w:r>
          </w:p>
        </w:tc>
        <w:tc>
          <w:tcPr>
            <w:tcW w:w="1674" w:type="dxa"/>
          </w:tcPr>
          <w:p w14:paraId="74705274"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ВИ образовни програми развиени</w:t>
            </w:r>
          </w:p>
        </w:tc>
        <w:tc>
          <w:tcPr>
            <w:tcW w:w="1782" w:type="dxa"/>
          </w:tcPr>
          <w:p w14:paraId="14181066"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Број на програми</w:t>
            </w:r>
          </w:p>
        </w:tc>
        <w:tc>
          <w:tcPr>
            <w:tcW w:w="1222" w:type="dxa"/>
          </w:tcPr>
          <w:p w14:paraId="7A39CDE0"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0</w:t>
            </w:r>
          </w:p>
        </w:tc>
        <w:tc>
          <w:tcPr>
            <w:tcW w:w="1562" w:type="dxa"/>
          </w:tcPr>
          <w:p w14:paraId="169C0CC1"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10 програми</w:t>
            </w:r>
          </w:p>
        </w:tc>
        <w:tc>
          <w:tcPr>
            <w:tcW w:w="1631" w:type="dxa"/>
          </w:tcPr>
          <w:p w14:paraId="7BA1FDAF"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БРО, ЦРСО МОН извештај</w:t>
            </w:r>
          </w:p>
        </w:tc>
      </w:tr>
      <w:tr w:rsidR="00FE200F" w14:paraId="45D988BA"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Borders>
              <w:right w:val="nil"/>
            </w:tcBorders>
          </w:tcPr>
          <w:p w14:paraId="371E265F" w14:textId="77777777" w:rsidR="00FE200F" w:rsidRDefault="00E77CAF">
            <w:pPr>
              <w:jc w:val="both"/>
              <w:rPr>
                <w:rFonts w:ascii="Times New Roman" w:hAnsi="Times New Roman" w:cs="Times New Roman"/>
                <w:lang w:val="mk-MK"/>
              </w:rPr>
            </w:pPr>
            <w:r>
              <w:rPr>
                <w:rFonts w:ascii="Times New Roman" w:hAnsi="Times New Roman" w:cs="Times New Roman"/>
                <w:i/>
                <w:iCs/>
                <w:color w:val="auto"/>
                <w:lang w:val="mk-MK"/>
              </w:rPr>
              <w:t>РЕЗУЛТАТ 3</w:t>
            </w:r>
          </w:p>
        </w:tc>
        <w:tc>
          <w:tcPr>
            <w:tcW w:w="1674" w:type="dxa"/>
          </w:tcPr>
          <w:p w14:paraId="1AB2E33B"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 xml:space="preserve">Национален ВИ центар </w:t>
            </w:r>
            <w:r>
              <w:rPr>
                <w:rFonts w:ascii="Times New Roman" w:hAnsi="Times New Roman" w:cs="Times New Roman"/>
                <w:color w:val="auto"/>
                <w:lang w:val="mk-MK"/>
              </w:rPr>
              <w:t>воспоставен</w:t>
            </w:r>
          </w:p>
        </w:tc>
        <w:tc>
          <w:tcPr>
            <w:tcW w:w="1782" w:type="dxa"/>
          </w:tcPr>
          <w:p w14:paraId="5BC4044E"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Центар функционира</w:t>
            </w:r>
          </w:p>
        </w:tc>
        <w:tc>
          <w:tcPr>
            <w:tcW w:w="1222" w:type="dxa"/>
          </w:tcPr>
          <w:p w14:paraId="09E6152E"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Нема</w:t>
            </w:r>
          </w:p>
        </w:tc>
        <w:tc>
          <w:tcPr>
            <w:tcW w:w="1562" w:type="dxa"/>
          </w:tcPr>
          <w:p w14:paraId="5AC74E51"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Функционира до Q4 2027</w:t>
            </w:r>
          </w:p>
        </w:tc>
        <w:tc>
          <w:tcPr>
            <w:tcW w:w="1631" w:type="dxa"/>
          </w:tcPr>
          <w:p w14:paraId="2B1453A4"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МДТ извештај</w:t>
            </w:r>
          </w:p>
        </w:tc>
      </w:tr>
      <w:tr w:rsidR="00FE200F" w14:paraId="5488FF2E" w14:textId="77777777" w:rsidTr="00FE200F">
        <w:tc>
          <w:tcPr>
            <w:cnfStyle w:val="001000000000" w:firstRow="0" w:lastRow="0" w:firstColumn="1" w:lastColumn="0" w:oddVBand="0" w:evenVBand="0" w:oddHBand="0" w:evenHBand="0" w:firstRowFirstColumn="0" w:firstRowLastColumn="0" w:lastRowFirstColumn="0" w:lastRowLastColumn="0"/>
            <w:tcW w:w="1558" w:type="dxa"/>
            <w:tcBorders>
              <w:right w:val="nil"/>
            </w:tcBorders>
          </w:tcPr>
          <w:p w14:paraId="455F32B8" w14:textId="77777777" w:rsidR="00FE200F" w:rsidRDefault="00E77CAF">
            <w:pPr>
              <w:jc w:val="both"/>
              <w:rPr>
                <w:rFonts w:ascii="Times New Roman" w:hAnsi="Times New Roman" w:cs="Times New Roman"/>
                <w:lang w:val="mk-MK"/>
              </w:rPr>
            </w:pPr>
            <w:r>
              <w:rPr>
                <w:rFonts w:ascii="Times New Roman" w:hAnsi="Times New Roman" w:cs="Times New Roman"/>
                <w:i/>
                <w:iCs/>
                <w:color w:val="auto"/>
                <w:lang w:val="mk-MK"/>
              </w:rPr>
              <w:t>РЕЗУЛТАТ 4</w:t>
            </w:r>
          </w:p>
        </w:tc>
        <w:tc>
          <w:tcPr>
            <w:tcW w:w="1674" w:type="dxa"/>
          </w:tcPr>
          <w:p w14:paraId="70298CF1"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Регистар на ВИ системи воспоставен</w:t>
            </w:r>
          </w:p>
        </w:tc>
        <w:tc>
          <w:tcPr>
            <w:tcW w:w="1782" w:type="dxa"/>
          </w:tcPr>
          <w:p w14:paraId="0510DA10"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Регистар функционира</w:t>
            </w:r>
          </w:p>
        </w:tc>
        <w:tc>
          <w:tcPr>
            <w:tcW w:w="1222" w:type="dxa"/>
          </w:tcPr>
          <w:p w14:paraId="728A497D"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Нема</w:t>
            </w:r>
          </w:p>
        </w:tc>
        <w:tc>
          <w:tcPr>
            <w:tcW w:w="1562" w:type="dxa"/>
          </w:tcPr>
          <w:p w14:paraId="3E322AA9"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Функционира до Q2 2027</w:t>
            </w:r>
          </w:p>
        </w:tc>
        <w:tc>
          <w:tcPr>
            <w:tcW w:w="1631" w:type="dxa"/>
          </w:tcPr>
          <w:p w14:paraId="259B5E9A"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МДТ портал</w:t>
            </w:r>
          </w:p>
        </w:tc>
      </w:tr>
      <w:tr w:rsidR="00FE200F" w14:paraId="09F3120C"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Borders>
              <w:right w:val="nil"/>
            </w:tcBorders>
          </w:tcPr>
          <w:p w14:paraId="26B25B42" w14:textId="77777777" w:rsidR="00FE200F" w:rsidRDefault="00E77CAF">
            <w:pPr>
              <w:jc w:val="both"/>
              <w:rPr>
                <w:rFonts w:ascii="Times New Roman" w:hAnsi="Times New Roman" w:cs="Times New Roman"/>
                <w:lang w:val="mk-MK"/>
              </w:rPr>
            </w:pPr>
            <w:r>
              <w:rPr>
                <w:rFonts w:ascii="Times New Roman" w:hAnsi="Times New Roman" w:cs="Times New Roman"/>
                <w:i/>
                <w:iCs/>
                <w:color w:val="auto"/>
                <w:lang w:val="mk-MK"/>
              </w:rPr>
              <w:t>РЕЗУЛТАТ 5</w:t>
            </w:r>
          </w:p>
        </w:tc>
        <w:tc>
          <w:tcPr>
            <w:tcW w:w="1674" w:type="dxa"/>
          </w:tcPr>
          <w:p w14:paraId="2363BAC3"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Зголемен број на отворени датасети за ВИ</w:t>
            </w:r>
          </w:p>
        </w:tc>
        <w:tc>
          <w:tcPr>
            <w:tcW w:w="1782" w:type="dxa"/>
          </w:tcPr>
          <w:p w14:paraId="44007EC4"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 xml:space="preserve">Број на датасети на </w:t>
            </w:r>
            <w:r>
              <w:rPr>
                <w:rFonts w:ascii="Times New Roman" w:hAnsi="Times New Roman" w:cs="Times New Roman"/>
                <w:i/>
                <w:iCs/>
                <w:color w:val="auto"/>
                <w:lang w:val="mk-MK"/>
              </w:rPr>
              <w:t>data.gov.mk</w:t>
            </w:r>
          </w:p>
        </w:tc>
        <w:tc>
          <w:tcPr>
            <w:tcW w:w="1222" w:type="dxa"/>
          </w:tcPr>
          <w:p w14:paraId="620BFA52"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580 (2022)</w:t>
            </w:r>
          </w:p>
        </w:tc>
        <w:tc>
          <w:tcPr>
            <w:tcW w:w="1562" w:type="dxa"/>
          </w:tcPr>
          <w:p w14:paraId="008F02D2"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&gt;900 високо-квалитетни датасети до 2030</w:t>
            </w:r>
          </w:p>
        </w:tc>
        <w:tc>
          <w:tcPr>
            <w:tcW w:w="1631" w:type="dxa"/>
          </w:tcPr>
          <w:p w14:paraId="096BDC67"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i/>
                <w:iCs/>
                <w:color w:val="auto"/>
                <w:lang w:val="mk-MK"/>
              </w:rPr>
              <w:t>data.gov.mk</w:t>
            </w:r>
            <w:r>
              <w:rPr>
                <w:rFonts w:ascii="Times New Roman" w:hAnsi="Times New Roman" w:cs="Times New Roman"/>
                <w:color w:val="auto"/>
                <w:lang w:val="mk-MK"/>
              </w:rPr>
              <w:t xml:space="preserve"> извештај</w:t>
            </w:r>
          </w:p>
        </w:tc>
      </w:tr>
    </w:tbl>
    <w:p w14:paraId="4D07FEEF" w14:textId="77777777" w:rsidR="00FE200F" w:rsidRDefault="00FE200F">
      <w:pPr>
        <w:jc w:val="both"/>
        <w:rPr>
          <w:rFonts w:ascii="Times New Roman" w:hAnsi="Times New Roman" w:cs="Times New Roman"/>
          <w:color w:val="auto"/>
          <w:lang w:val="mk-MK"/>
        </w:rPr>
      </w:pPr>
    </w:p>
    <w:p w14:paraId="46CBEB3B" w14:textId="77777777" w:rsidR="00FE200F" w:rsidRDefault="00E77CAF">
      <w:pPr>
        <w:pStyle w:val="Heading2"/>
        <w:jc w:val="center"/>
        <w:rPr>
          <w:rFonts w:ascii="Times New Roman" w:hAnsi="Times New Roman" w:cs="Times New Roman"/>
          <w:lang w:val="mk-MK"/>
        </w:rPr>
      </w:pPr>
      <w:bookmarkStart w:id="111" w:name="_Toc240630081"/>
      <w:bookmarkStart w:id="112" w:name="_Toc243908024"/>
      <w:r>
        <w:rPr>
          <w:rFonts w:ascii="Times New Roman" w:hAnsi="Times New Roman" w:cs="Times New Roman"/>
          <w:color w:val="auto"/>
          <w:lang w:val="mk-MK"/>
        </w:rPr>
        <w:lastRenderedPageBreak/>
        <w:t>ЗАКЛУЧОЦИ И ПРЕПОРАКИ</w:t>
      </w:r>
      <w:bookmarkEnd w:id="111"/>
      <w:bookmarkEnd w:id="112"/>
    </w:p>
    <w:p w14:paraId="180C14D9"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Врз основа на спроведената дијагностика, се извлекуваат следните клучни заклучоци:</w:t>
      </w:r>
    </w:p>
    <w:p w14:paraId="22887737" w14:textId="77777777" w:rsidR="00FE200F" w:rsidRDefault="00E77CAF">
      <w:pPr>
        <w:pStyle w:val="ListNumber"/>
        <w:numPr>
          <w:ilvl w:val="0"/>
          <w:numId w:val="40"/>
        </w:numPr>
        <w:jc w:val="both"/>
        <w:rPr>
          <w:rFonts w:ascii="Times New Roman" w:hAnsi="Times New Roman" w:cs="Times New Roman"/>
          <w:lang w:val="mk-MK"/>
        </w:rPr>
      </w:pPr>
      <w:r>
        <w:rPr>
          <w:rFonts w:ascii="Times New Roman" w:hAnsi="Times New Roman" w:cs="Times New Roman"/>
          <w:b/>
          <w:color w:val="auto"/>
          <w:lang w:val="mk-MK"/>
        </w:rPr>
        <w:t>Итна потреба од регулација:</w:t>
      </w:r>
      <w:r>
        <w:rPr>
          <w:rFonts w:ascii="Times New Roman" w:hAnsi="Times New Roman" w:cs="Times New Roman"/>
          <w:color w:val="auto"/>
          <w:lang w:val="mk-MK"/>
        </w:rPr>
        <w:t xml:space="preserve"> Отсуството на Закон за ВИ е најголемиот ризик. Усогласувањето со ЕУ Актот за ВИ мора да биде приоритет број еден.</w:t>
      </w:r>
    </w:p>
    <w:p w14:paraId="68523D2A" w14:textId="77777777" w:rsidR="00FE200F" w:rsidRDefault="00E77CAF">
      <w:pPr>
        <w:pStyle w:val="ListNumber"/>
        <w:numPr>
          <w:ilvl w:val="0"/>
          <w:numId w:val="41"/>
        </w:numPr>
        <w:jc w:val="both"/>
        <w:rPr>
          <w:rFonts w:ascii="Times New Roman" w:hAnsi="Times New Roman" w:cs="Times New Roman"/>
          <w:lang w:val="mk-MK"/>
        </w:rPr>
      </w:pPr>
      <w:r>
        <w:rPr>
          <w:rFonts w:ascii="Times New Roman" w:hAnsi="Times New Roman" w:cs="Times New Roman"/>
          <w:b/>
          <w:color w:val="auto"/>
          <w:lang w:val="mk-MK"/>
        </w:rPr>
        <w:t>Инвестициите мора да бидат ефективни:</w:t>
      </w:r>
      <w:r>
        <w:rPr>
          <w:rFonts w:ascii="Times New Roman" w:hAnsi="Times New Roman" w:cs="Times New Roman"/>
          <w:color w:val="auto"/>
          <w:lang w:val="mk-MK"/>
        </w:rPr>
        <w:t xml:space="preserve"> Податокот за 6 милиони евра потрошени без резултат укажува дека фокусот мора да се префрли од набавка н</w:t>
      </w:r>
      <w:r>
        <w:rPr>
          <w:rFonts w:ascii="Times New Roman" w:hAnsi="Times New Roman" w:cs="Times New Roman"/>
          <w:color w:val="auto"/>
          <w:lang w:val="mk-MK"/>
        </w:rPr>
        <w:t>а технологија кон градење на капацитети и промена на процесите.</w:t>
      </w:r>
    </w:p>
    <w:p w14:paraId="36015956" w14:textId="77777777" w:rsidR="00FE200F" w:rsidRDefault="00E77CAF">
      <w:pPr>
        <w:pStyle w:val="ListNumber"/>
        <w:numPr>
          <w:ilvl w:val="0"/>
          <w:numId w:val="42"/>
        </w:numPr>
        <w:jc w:val="both"/>
        <w:rPr>
          <w:rFonts w:ascii="Times New Roman" w:hAnsi="Times New Roman" w:cs="Times New Roman"/>
          <w:lang w:val="mk-MK"/>
        </w:rPr>
      </w:pPr>
      <w:r>
        <w:rPr>
          <w:rFonts w:ascii="Times New Roman" w:hAnsi="Times New Roman" w:cs="Times New Roman"/>
          <w:b/>
          <w:color w:val="auto"/>
          <w:lang w:val="mk-MK"/>
        </w:rPr>
        <w:t>Инфраструктурата е тесно грло:</w:t>
      </w:r>
      <w:r>
        <w:rPr>
          <w:rFonts w:ascii="Times New Roman" w:hAnsi="Times New Roman" w:cs="Times New Roman"/>
          <w:color w:val="auto"/>
          <w:lang w:val="mk-MK"/>
        </w:rPr>
        <w:t xml:space="preserve"> Без пристап до </w:t>
      </w:r>
      <w:r>
        <w:rPr>
          <w:rFonts w:ascii="Times New Roman" w:hAnsi="Times New Roman" w:cs="Times New Roman"/>
          <w:i/>
          <w:iCs/>
          <w:color w:val="auto"/>
          <w:lang w:val="mk-MK"/>
        </w:rPr>
        <w:t>HPC</w:t>
      </w:r>
      <w:r>
        <w:rPr>
          <w:rFonts w:ascii="Times New Roman" w:hAnsi="Times New Roman" w:cs="Times New Roman"/>
          <w:color w:val="auto"/>
          <w:lang w:val="mk-MK"/>
        </w:rPr>
        <w:t xml:space="preserve"> и квалитетни отворени податоци, развојот на домашни ВИ решенија ќе биде сериозно ограничен.</w:t>
      </w:r>
    </w:p>
    <w:p w14:paraId="6CCD135A" w14:textId="77777777" w:rsidR="00FE200F" w:rsidRDefault="00E77CAF">
      <w:pPr>
        <w:pStyle w:val="ListNumber"/>
        <w:numPr>
          <w:ilvl w:val="0"/>
          <w:numId w:val="43"/>
        </w:numPr>
        <w:jc w:val="both"/>
        <w:rPr>
          <w:rFonts w:ascii="Times New Roman" w:hAnsi="Times New Roman" w:cs="Times New Roman"/>
          <w:lang w:val="mk-MK"/>
        </w:rPr>
      </w:pPr>
      <w:r>
        <w:rPr>
          <w:rFonts w:ascii="Times New Roman" w:hAnsi="Times New Roman" w:cs="Times New Roman"/>
          <w:b/>
          <w:color w:val="auto"/>
          <w:lang w:val="mk-MK"/>
        </w:rPr>
        <w:t>Човечкиот капитал е најголемата предност:</w:t>
      </w:r>
      <w:r>
        <w:rPr>
          <w:rFonts w:ascii="Times New Roman" w:hAnsi="Times New Roman" w:cs="Times New Roman"/>
          <w:color w:val="auto"/>
          <w:lang w:val="mk-MK"/>
        </w:rPr>
        <w:t xml:space="preserve"> Силниот </w:t>
      </w:r>
      <w:r>
        <w:rPr>
          <w:rFonts w:ascii="Times New Roman" w:hAnsi="Times New Roman" w:cs="Times New Roman"/>
          <w:color w:val="auto"/>
          <w:lang w:val="mk-MK"/>
        </w:rPr>
        <w:t>ИКТ сектор претставува одлична основа, но потребна е синергија меѓу академијата и индустријата.</w:t>
      </w:r>
    </w:p>
    <w:p w14:paraId="126C5F1B" w14:textId="77777777" w:rsidR="00FE200F" w:rsidRDefault="00E77CAF">
      <w:pPr>
        <w:pStyle w:val="ListNumber"/>
        <w:numPr>
          <w:ilvl w:val="0"/>
          <w:numId w:val="44"/>
        </w:numPr>
        <w:jc w:val="both"/>
        <w:rPr>
          <w:rFonts w:ascii="Times New Roman" w:hAnsi="Times New Roman" w:cs="Times New Roman"/>
          <w:lang w:val="mk-MK"/>
        </w:rPr>
      </w:pPr>
      <w:r>
        <w:rPr>
          <w:rFonts w:ascii="Times New Roman" w:hAnsi="Times New Roman" w:cs="Times New Roman"/>
          <w:b/>
          <w:bCs/>
          <w:color w:val="auto"/>
          <w:lang w:val="mk-MK"/>
        </w:rPr>
        <w:t xml:space="preserve">Регионалната позиција е критична: Според Oxford Insights Government AI Readiness Index 2025, Македонија е на ранг 107 од 195 земји — 68 места зад Србија (ранг </w:t>
      </w:r>
      <w:r>
        <w:rPr>
          <w:rFonts w:ascii="Times New Roman" w:hAnsi="Times New Roman" w:cs="Times New Roman"/>
          <w:b/>
          <w:bCs/>
          <w:color w:val="auto"/>
          <w:lang w:val="mk-MK"/>
        </w:rPr>
        <w:t>39) и 35 места зад Хрватска (ранг 72). Оваа разлика не е само статистичка: таа значи дека регионалните конкуренти веќе привлекуваат ВИ инвестиции, таленти и партнерства. Без систематска акција од почетокот на имплементацијата во 2027 година, јазот ќе продо</w:t>
      </w:r>
      <w:r>
        <w:rPr>
          <w:rFonts w:ascii="Times New Roman" w:hAnsi="Times New Roman" w:cs="Times New Roman"/>
          <w:b/>
          <w:bCs/>
          <w:color w:val="auto"/>
          <w:lang w:val="mk-MK"/>
        </w:rPr>
        <w:t>лжи да расте.</w:t>
      </w:r>
    </w:p>
    <w:p w14:paraId="62894894" w14:textId="77777777" w:rsidR="00FE200F" w:rsidRDefault="00E77CAF">
      <w:pPr>
        <w:pStyle w:val="ListNumber"/>
        <w:numPr>
          <w:ilvl w:val="0"/>
          <w:numId w:val="45"/>
        </w:numPr>
        <w:jc w:val="both"/>
        <w:rPr>
          <w:rFonts w:ascii="Times New Roman" w:hAnsi="Times New Roman" w:cs="Times New Roman"/>
          <w:lang w:val="mk-MK"/>
        </w:rPr>
      </w:pPr>
      <w:r>
        <w:rPr>
          <w:rFonts w:ascii="Times New Roman" w:hAnsi="Times New Roman" w:cs="Times New Roman"/>
          <w:b/>
          <w:bCs/>
          <w:color w:val="auto"/>
          <w:lang w:val="mk-MK"/>
        </w:rPr>
        <w:t xml:space="preserve">Структурниот јаз во Development &amp; Diffusion е долгорочниот предизвик: Development &amp; Diffusion score од 24.85/100 е најниската оценка на Македонија во сите шест Oxford Insights. Оваа димензија мери зрелост на ВИ екосистемот, комерцијализација </w:t>
      </w:r>
      <w:r>
        <w:rPr>
          <w:rFonts w:ascii="Times New Roman" w:hAnsi="Times New Roman" w:cs="Times New Roman"/>
          <w:b/>
          <w:bCs/>
          <w:color w:val="auto"/>
          <w:lang w:val="mk-MK"/>
        </w:rPr>
        <w:t xml:space="preserve">на истражувања и дифузија на технологијата — процеси кои бараат 5–10 години систематски инвестиции. Затоа, паралелно со регулаторните мерки, долгорочните инвестиции во образование, R&amp;D и иновациски екосистем треба да започнат од 2027 година и да продолжат </w:t>
      </w:r>
      <w:r>
        <w:rPr>
          <w:rFonts w:ascii="Times New Roman" w:hAnsi="Times New Roman" w:cs="Times New Roman"/>
          <w:b/>
          <w:bCs/>
          <w:color w:val="auto"/>
          <w:lang w:val="mk-MK"/>
        </w:rPr>
        <w:t>во целокупниот период на Стратегијата.</w:t>
      </w:r>
    </w:p>
    <w:p w14:paraId="47B23154" w14:textId="77777777" w:rsidR="00FE200F" w:rsidRDefault="00E77CAF">
      <w:pPr>
        <w:pStyle w:val="ListNumber"/>
        <w:numPr>
          <w:ilvl w:val="0"/>
          <w:numId w:val="46"/>
        </w:numPr>
        <w:jc w:val="both"/>
        <w:rPr>
          <w:rFonts w:ascii="Times New Roman" w:hAnsi="Times New Roman" w:cs="Times New Roman"/>
          <w:lang w:val="mk-MK"/>
        </w:rPr>
      </w:pPr>
      <w:r>
        <w:rPr>
          <w:rFonts w:ascii="Times New Roman" w:hAnsi="Times New Roman" w:cs="Times New Roman"/>
          <w:b/>
          <w:bCs/>
          <w:i/>
          <w:iCs/>
          <w:color w:val="auto"/>
          <w:lang w:val="mk-MK"/>
        </w:rPr>
        <w:t>Governance</w:t>
      </w:r>
      <w:r>
        <w:rPr>
          <w:rFonts w:ascii="Times New Roman" w:hAnsi="Times New Roman" w:cs="Times New Roman"/>
          <w:b/>
          <w:bCs/>
          <w:color w:val="auto"/>
          <w:lang w:val="mk-MK"/>
        </w:rPr>
        <w:t xml:space="preserve"> (45.00) е единствената компаративна предност</w:t>
      </w:r>
      <w:r>
        <w:rPr>
          <w:rFonts w:ascii="Times New Roman" w:hAnsi="Times New Roman" w:cs="Times New Roman"/>
          <w:color w:val="auto"/>
          <w:lang w:val="mk-MK"/>
        </w:rPr>
        <w:t xml:space="preserve">: Македонија ја надминува Косово и БиХ во Governance score (45.00) благодарение на ЗЗЛП усогласеноста со </w:t>
      </w:r>
      <w:r>
        <w:rPr>
          <w:rFonts w:ascii="Times New Roman" w:hAnsi="Times New Roman" w:cs="Times New Roman"/>
          <w:i/>
          <w:iCs/>
          <w:color w:val="auto"/>
          <w:lang w:val="mk-MK"/>
        </w:rPr>
        <w:t>GDPR</w:t>
      </w:r>
      <w:r>
        <w:rPr>
          <w:rFonts w:ascii="Times New Roman" w:hAnsi="Times New Roman" w:cs="Times New Roman"/>
          <w:color w:val="auto"/>
          <w:lang w:val="mk-MK"/>
        </w:rPr>
        <w:t>. Ова е единствената димензија каде земјата има компа</w:t>
      </w:r>
      <w:r>
        <w:rPr>
          <w:rFonts w:ascii="Times New Roman" w:hAnsi="Times New Roman" w:cs="Times New Roman"/>
          <w:color w:val="auto"/>
          <w:lang w:val="mk-MK"/>
        </w:rPr>
        <w:t>ративна предност во однос на некои регионални земји. Меѓутоа, оваа предност е кревка — Хрватска (70.64) и Србија (78.64) се значително понапред. Итното усвојување на Закон за ВИ и воспоставувањето на надзорен орган би ја зацврстиле оваа предност и би ја по</w:t>
      </w:r>
      <w:r>
        <w:rPr>
          <w:rFonts w:ascii="Times New Roman" w:hAnsi="Times New Roman" w:cs="Times New Roman"/>
          <w:color w:val="auto"/>
          <w:lang w:val="mk-MK"/>
        </w:rPr>
        <w:t>дигнале Governance оценката на 60.00+ до 2028.</w:t>
      </w:r>
    </w:p>
    <w:p w14:paraId="1A1B3C02" w14:textId="77777777" w:rsidR="00FE200F" w:rsidRDefault="00FE200F">
      <w:pPr>
        <w:jc w:val="both"/>
        <w:rPr>
          <w:rFonts w:ascii="Times New Roman" w:hAnsi="Times New Roman" w:cs="Times New Roman"/>
          <w:b/>
          <w:color w:val="auto"/>
          <w:lang w:val="mk-MK"/>
        </w:rPr>
      </w:pPr>
    </w:p>
    <w:p w14:paraId="21D9E00F" w14:textId="77777777" w:rsidR="00FE200F" w:rsidRDefault="00E77CAF">
      <w:pPr>
        <w:jc w:val="both"/>
        <w:rPr>
          <w:rFonts w:ascii="Times New Roman" w:hAnsi="Times New Roman" w:cs="Times New Roman"/>
          <w:lang w:val="mk-MK"/>
        </w:rPr>
      </w:pPr>
      <w:r>
        <w:rPr>
          <w:rFonts w:ascii="Times New Roman" w:hAnsi="Times New Roman" w:cs="Times New Roman"/>
          <w:b/>
          <w:color w:val="auto"/>
          <w:lang w:val="mk-MK"/>
        </w:rPr>
        <w:t>Препораки (Дефинирање на стратешки правци и мерки):</w:t>
      </w:r>
    </w:p>
    <w:p w14:paraId="3E75764B" w14:textId="77777777" w:rsidR="00FE200F" w:rsidRDefault="00E77CAF">
      <w:pPr>
        <w:pStyle w:val="ListBullet"/>
        <w:jc w:val="both"/>
        <w:rPr>
          <w:rFonts w:ascii="Times New Roman" w:hAnsi="Times New Roman" w:cs="Times New Roman"/>
          <w:lang w:val="mk-MK"/>
        </w:rPr>
      </w:pPr>
      <w:r>
        <w:rPr>
          <w:rFonts w:ascii="Times New Roman" w:hAnsi="Times New Roman" w:cs="Times New Roman"/>
          <w:color w:val="auto"/>
          <w:lang w:val="mk-MK"/>
        </w:rPr>
        <w:t>Да се формираат подгрупи за секој од 5-те приоритетни области.</w:t>
      </w:r>
    </w:p>
    <w:p w14:paraId="3B47E2BA" w14:textId="77777777" w:rsidR="00FE200F" w:rsidRDefault="00E77CAF">
      <w:pPr>
        <w:pStyle w:val="ListBullet"/>
        <w:jc w:val="both"/>
        <w:rPr>
          <w:rFonts w:ascii="Times New Roman" w:hAnsi="Times New Roman" w:cs="Times New Roman"/>
          <w:lang w:val="mk-MK"/>
        </w:rPr>
      </w:pPr>
      <w:r>
        <w:rPr>
          <w:rFonts w:ascii="Times New Roman" w:hAnsi="Times New Roman" w:cs="Times New Roman"/>
          <w:color w:val="auto"/>
          <w:lang w:val="mk-MK"/>
        </w:rPr>
        <w:t>Да се изработи детална проценка на финансиските импликации за секоја предложена мерка.</w:t>
      </w:r>
    </w:p>
    <w:p w14:paraId="4FD1DE59" w14:textId="77777777" w:rsidR="00FE200F" w:rsidRDefault="00E77CAF">
      <w:pPr>
        <w:pStyle w:val="ListBullet"/>
        <w:jc w:val="both"/>
        <w:rPr>
          <w:rFonts w:ascii="Times New Roman" w:hAnsi="Times New Roman" w:cs="Times New Roman"/>
          <w:lang w:val="mk-MK"/>
        </w:rPr>
      </w:pPr>
      <w:r>
        <w:rPr>
          <w:rFonts w:ascii="Times New Roman" w:hAnsi="Times New Roman" w:cs="Times New Roman"/>
          <w:color w:val="auto"/>
          <w:lang w:val="mk-MK"/>
        </w:rPr>
        <w:t xml:space="preserve">Да се </w:t>
      </w:r>
      <w:r>
        <w:rPr>
          <w:rFonts w:ascii="Times New Roman" w:hAnsi="Times New Roman" w:cs="Times New Roman"/>
          <w:color w:val="auto"/>
          <w:lang w:val="mk-MK"/>
        </w:rPr>
        <w:t>дефинираат конкретни пилот-проекти во јавниот сектор (на пр., ВИ асистент за граѓани на порталот е-услуги).</w:t>
      </w:r>
    </w:p>
    <w:p w14:paraId="414BE1EF" w14:textId="77777777" w:rsidR="00FE200F" w:rsidRDefault="00E77CAF">
      <w:pPr>
        <w:pStyle w:val="ListBullet"/>
        <w:jc w:val="both"/>
        <w:rPr>
          <w:rFonts w:ascii="Times New Roman" w:hAnsi="Times New Roman" w:cs="Times New Roman"/>
          <w:lang w:val="mk-MK"/>
        </w:rPr>
      </w:pPr>
      <w:r>
        <w:rPr>
          <w:rFonts w:ascii="Times New Roman" w:hAnsi="Times New Roman" w:cs="Times New Roman"/>
          <w:color w:val="auto"/>
          <w:lang w:val="mk-MK"/>
        </w:rPr>
        <w:t xml:space="preserve">Да се интегрираат наодите од недостасувачките документи (Стратегија за РЈА, </w:t>
      </w:r>
      <w:r>
        <w:rPr>
          <w:rFonts w:ascii="Times New Roman" w:hAnsi="Times New Roman" w:cs="Times New Roman"/>
          <w:i/>
          <w:iCs/>
          <w:color w:val="auto"/>
          <w:lang w:val="mk-MK"/>
        </w:rPr>
        <w:t>UNDP DRA</w:t>
      </w:r>
      <w:r>
        <w:rPr>
          <w:rFonts w:ascii="Times New Roman" w:hAnsi="Times New Roman" w:cs="Times New Roman"/>
          <w:color w:val="auto"/>
          <w:lang w:val="mk-MK"/>
        </w:rPr>
        <w:t>).</w:t>
      </w:r>
    </w:p>
    <w:p w14:paraId="1727735B" w14:textId="77777777" w:rsidR="00FE200F" w:rsidRDefault="00E77CAF">
      <w:pPr>
        <w:pStyle w:val="ListBullet"/>
        <w:jc w:val="both"/>
        <w:rPr>
          <w:rFonts w:ascii="Times New Roman" w:hAnsi="Times New Roman" w:cs="Times New Roman"/>
          <w:lang w:val="mk-MK"/>
        </w:rPr>
      </w:pPr>
      <w:r>
        <w:rPr>
          <w:rFonts w:ascii="Times New Roman" w:hAnsi="Times New Roman" w:cs="Times New Roman"/>
          <w:color w:val="auto"/>
          <w:lang w:val="mk-MK"/>
        </w:rPr>
        <w:t>Да се спроведе детален план за усогласување со EU AI Act во с</w:t>
      </w:r>
      <w:r>
        <w:rPr>
          <w:rFonts w:ascii="Times New Roman" w:hAnsi="Times New Roman" w:cs="Times New Roman"/>
          <w:color w:val="auto"/>
          <w:lang w:val="mk-MK"/>
        </w:rPr>
        <w:t xml:space="preserve">огласност со Акцискиот план: Q1–Q4 2027 подготовка и операционализација на Националниот орган за ВИ; Q3 2027–Q4 2028 подготовка, јавни консултации и усвојување на Закон за ВИ; и </w:t>
      </w:r>
      <w:r>
        <w:rPr>
          <w:rFonts w:ascii="Times New Roman" w:hAnsi="Times New Roman" w:cs="Times New Roman"/>
          <w:color w:val="auto"/>
          <w:lang w:val="mk-MK"/>
        </w:rPr>
        <w:lastRenderedPageBreak/>
        <w:t>последователно доуточнување на релевантната регулатива. Напредокот ќе се следи</w:t>
      </w:r>
      <w:r>
        <w:rPr>
          <w:rFonts w:ascii="Times New Roman" w:hAnsi="Times New Roman" w:cs="Times New Roman"/>
          <w:color w:val="auto"/>
          <w:lang w:val="mk-MK"/>
        </w:rPr>
        <w:t xml:space="preserve"> преку GARI Policy Capacity и Governance, со индикатори утврдени во поглавјето за следење.</w:t>
      </w:r>
    </w:p>
    <w:p w14:paraId="5F812241" w14:textId="77777777" w:rsidR="00FE200F" w:rsidRDefault="00E77CAF">
      <w:pPr>
        <w:pStyle w:val="ListBullet"/>
        <w:jc w:val="both"/>
        <w:rPr>
          <w:rFonts w:ascii="Times New Roman" w:hAnsi="Times New Roman" w:cs="Times New Roman"/>
          <w:lang w:val="mk-MK"/>
        </w:rPr>
      </w:pPr>
      <w:r>
        <w:rPr>
          <w:rFonts w:ascii="Times New Roman" w:hAnsi="Times New Roman" w:cs="Times New Roman"/>
          <w:color w:val="auto"/>
          <w:lang w:val="mk-MK"/>
        </w:rPr>
        <w:t xml:space="preserve">Да се иницира процес за пристап до </w:t>
      </w:r>
      <w:r>
        <w:rPr>
          <w:rFonts w:ascii="Times New Roman" w:hAnsi="Times New Roman" w:cs="Times New Roman"/>
          <w:i/>
          <w:iCs/>
          <w:color w:val="auto"/>
          <w:lang w:val="mk-MK"/>
        </w:rPr>
        <w:t>EuroHPC Joint Undertaking</w:t>
      </w:r>
      <w:r>
        <w:rPr>
          <w:rFonts w:ascii="Times New Roman" w:hAnsi="Times New Roman" w:cs="Times New Roman"/>
          <w:color w:val="auto"/>
          <w:lang w:val="mk-MK"/>
        </w:rPr>
        <w:t xml:space="preserve"> или воспоставување на регионален </w:t>
      </w:r>
      <w:r>
        <w:rPr>
          <w:rFonts w:ascii="Times New Roman" w:hAnsi="Times New Roman" w:cs="Times New Roman"/>
          <w:i/>
          <w:iCs/>
          <w:color w:val="auto"/>
          <w:lang w:val="mk-MK"/>
        </w:rPr>
        <w:t>HPC</w:t>
      </w:r>
      <w:r>
        <w:rPr>
          <w:rFonts w:ascii="Times New Roman" w:hAnsi="Times New Roman" w:cs="Times New Roman"/>
          <w:color w:val="auto"/>
          <w:lang w:val="mk-MK"/>
        </w:rPr>
        <w:t xml:space="preserve"> центар преку Отворен Балкан иницијативата, со цел подобрување на </w:t>
      </w:r>
      <w:r>
        <w:rPr>
          <w:rFonts w:ascii="Times New Roman" w:hAnsi="Times New Roman" w:cs="Times New Roman"/>
          <w:i/>
          <w:iCs/>
          <w:color w:val="auto"/>
          <w:lang w:val="mk-MK"/>
        </w:rPr>
        <w:t>AI</w:t>
      </w:r>
      <w:r>
        <w:rPr>
          <w:rFonts w:ascii="Times New Roman" w:hAnsi="Times New Roman" w:cs="Times New Roman"/>
          <w:i/>
          <w:iCs/>
          <w:color w:val="auto"/>
          <w:lang w:val="mk-MK"/>
        </w:rPr>
        <w:t xml:space="preserve"> Infrastructure score</w:t>
      </w:r>
      <w:r>
        <w:rPr>
          <w:rFonts w:ascii="Times New Roman" w:hAnsi="Times New Roman" w:cs="Times New Roman"/>
          <w:color w:val="auto"/>
          <w:lang w:val="mk-MK"/>
        </w:rPr>
        <w:t xml:space="preserve"> од 41.12 на 50.00+ до 2028 и надминување на инфраструктурниот јаз со Србија (52.75) и Хрватска (52.04).</w:t>
      </w:r>
    </w:p>
    <w:p w14:paraId="780BFA4A" w14:textId="77777777" w:rsidR="00FE200F" w:rsidRDefault="00E77CAF">
      <w:pPr>
        <w:pStyle w:val="ListBullet"/>
        <w:jc w:val="both"/>
        <w:rPr>
          <w:rFonts w:ascii="Times New Roman" w:hAnsi="Times New Roman" w:cs="Times New Roman"/>
          <w:lang w:val="mk-MK"/>
        </w:rPr>
      </w:pPr>
      <w:r>
        <w:rPr>
          <w:rFonts w:ascii="Times New Roman" w:hAnsi="Times New Roman" w:cs="Times New Roman"/>
          <w:color w:val="auto"/>
          <w:lang w:val="mk-MK"/>
        </w:rPr>
        <w:t>Да се воспостави Национален ВИ Барометар — годишен јавен извештај кој ги следи шесте димензии на Oxford Insights GARI. За оператив</w:t>
      </w:r>
      <w:r>
        <w:rPr>
          <w:rFonts w:ascii="Times New Roman" w:hAnsi="Times New Roman" w:cs="Times New Roman"/>
          <w:color w:val="auto"/>
          <w:lang w:val="mk-MK"/>
        </w:rPr>
        <w:t>ните индикатори се применува редоследот: почетна вредност во 2027, преодна вредност во 2029 и крајна вредност во 2031; стратешката цел за вкупниот GARI ранг се следи до 2032, согласно поглавјето за следење.</w:t>
      </w:r>
    </w:p>
    <w:p w14:paraId="7E8DF18C" w14:textId="77777777" w:rsidR="00FE200F" w:rsidRDefault="00E77CAF">
      <w:pPr>
        <w:pStyle w:val="ListBullet"/>
        <w:jc w:val="both"/>
        <w:rPr>
          <w:rFonts w:ascii="Times New Roman" w:hAnsi="Times New Roman" w:cs="Times New Roman"/>
          <w:lang w:val="mk-MK"/>
        </w:rPr>
      </w:pPr>
      <w:r>
        <w:rPr>
          <w:rFonts w:ascii="Times New Roman" w:hAnsi="Times New Roman" w:cs="Times New Roman"/>
          <w:color w:val="auto"/>
          <w:lang w:val="mk-MK"/>
        </w:rPr>
        <w:t>Да се изработи Стратегија за привлекување на ВИ и</w:t>
      </w:r>
      <w:r>
        <w:rPr>
          <w:rFonts w:ascii="Times New Roman" w:hAnsi="Times New Roman" w:cs="Times New Roman"/>
          <w:color w:val="auto"/>
          <w:lang w:val="mk-MK"/>
        </w:rPr>
        <w:t xml:space="preserve">нвестиции со фокус на создавање на </w:t>
      </w:r>
      <w:r>
        <w:rPr>
          <w:rFonts w:ascii="Times New Roman" w:hAnsi="Times New Roman" w:cs="Times New Roman"/>
          <w:i/>
          <w:iCs/>
          <w:color w:val="auto"/>
          <w:lang w:val="mk-MK"/>
        </w:rPr>
        <w:t>"anchor company"</w:t>
      </w:r>
      <w:r>
        <w:rPr>
          <w:rFonts w:ascii="Times New Roman" w:hAnsi="Times New Roman" w:cs="Times New Roman"/>
          <w:color w:val="auto"/>
          <w:lang w:val="mk-MK"/>
        </w:rPr>
        <w:t xml:space="preserve"> или ВИ центар кој би го зголемил </w:t>
      </w:r>
      <w:r>
        <w:rPr>
          <w:rFonts w:ascii="Times New Roman" w:hAnsi="Times New Roman" w:cs="Times New Roman"/>
          <w:i/>
          <w:iCs/>
          <w:color w:val="auto"/>
          <w:lang w:val="mk-MK"/>
        </w:rPr>
        <w:t>Development &amp; Diffusion score</w:t>
      </w:r>
      <w:r>
        <w:rPr>
          <w:rFonts w:ascii="Times New Roman" w:hAnsi="Times New Roman" w:cs="Times New Roman"/>
          <w:color w:val="auto"/>
          <w:lang w:val="mk-MK"/>
        </w:rPr>
        <w:t xml:space="preserve"> од 24.85 на 35.00+ до 2028 — следејќи ги примерите на Србија (</w:t>
      </w:r>
      <w:r>
        <w:rPr>
          <w:rFonts w:ascii="Times New Roman" w:hAnsi="Times New Roman" w:cs="Times New Roman"/>
          <w:i/>
          <w:iCs/>
          <w:color w:val="auto"/>
          <w:lang w:val="mk-MK"/>
        </w:rPr>
        <w:t>S4AI_HUB</w:t>
      </w:r>
      <w:r>
        <w:rPr>
          <w:rFonts w:ascii="Times New Roman" w:hAnsi="Times New Roman" w:cs="Times New Roman"/>
          <w:color w:val="auto"/>
          <w:lang w:val="mk-MK"/>
        </w:rPr>
        <w:t>, ИВИ) и Хрватска (</w:t>
      </w:r>
      <w:r>
        <w:rPr>
          <w:rFonts w:ascii="Times New Roman" w:hAnsi="Times New Roman" w:cs="Times New Roman"/>
          <w:i/>
          <w:iCs/>
          <w:color w:val="auto"/>
          <w:lang w:val="mk-MK"/>
        </w:rPr>
        <w:t>Infobip, Rimac, AI4Health.Cro</w:t>
      </w:r>
      <w:r>
        <w:rPr>
          <w:rFonts w:ascii="Times New Roman" w:hAnsi="Times New Roman" w:cs="Times New Roman"/>
          <w:color w:val="auto"/>
          <w:lang w:val="mk-MK"/>
        </w:rPr>
        <w:t>).</w:t>
      </w:r>
    </w:p>
    <w:p w14:paraId="2678940D" w14:textId="77777777" w:rsidR="00FE200F" w:rsidRDefault="00FE200F">
      <w:pPr>
        <w:spacing w:after="200" w:line="276" w:lineRule="auto"/>
        <w:rPr>
          <w:rFonts w:ascii="Times New Roman" w:eastAsiaTheme="majorEastAsia" w:hAnsi="Times New Roman" w:cs="Times New Roman"/>
          <w:b/>
          <w:bCs/>
          <w:color w:val="auto"/>
          <w:sz w:val="28"/>
          <w:szCs w:val="26"/>
          <w:lang w:val="mk-MK"/>
        </w:rPr>
      </w:pPr>
    </w:p>
    <w:p w14:paraId="7AD48ADD" w14:textId="77777777" w:rsidR="00FE200F" w:rsidRDefault="00E77CAF">
      <w:pPr>
        <w:spacing w:after="200" w:line="276" w:lineRule="auto"/>
        <w:rPr>
          <w:rFonts w:ascii="Times New Roman" w:hAnsi="Times New Roman" w:cs="Times New Roman"/>
          <w:lang w:val="mk-MK"/>
        </w:rPr>
      </w:pPr>
      <w:r>
        <w:rPr>
          <w:rFonts w:ascii="Times New Roman" w:eastAsiaTheme="majorEastAsia" w:hAnsi="Times New Roman" w:cs="Times New Roman"/>
          <w:b/>
          <w:bCs/>
          <w:color w:val="auto"/>
          <w:sz w:val="28"/>
          <w:szCs w:val="26"/>
          <w:lang w:val="mk-MK"/>
        </w:rPr>
        <w:t>III СТРАТЕШКА РАМКА</w:t>
      </w:r>
    </w:p>
    <w:p w14:paraId="46E03FD0" w14:textId="77777777" w:rsidR="00FE200F" w:rsidRDefault="00E77CAF">
      <w:pPr>
        <w:pStyle w:val="Heading2"/>
        <w:jc w:val="center"/>
        <w:rPr>
          <w:rFonts w:ascii="Times New Roman" w:hAnsi="Times New Roman" w:cs="Times New Roman"/>
          <w:lang w:val="mk-MK"/>
        </w:rPr>
      </w:pPr>
      <w:bookmarkStart w:id="113" w:name="_Toc240630082"/>
      <w:bookmarkStart w:id="114" w:name="_Toc243908025"/>
      <w:r>
        <w:rPr>
          <w:rFonts w:ascii="Times New Roman" w:hAnsi="Times New Roman" w:cs="Times New Roman"/>
          <w:color w:val="auto"/>
          <w:sz w:val="24"/>
          <w:szCs w:val="24"/>
          <w:lang w:val="mk-MK"/>
        </w:rPr>
        <w:t>8. ВИЗИЈА, МИСИЈА И СТРАТЕШКИ ЦЕЛИ</w:t>
      </w:r>
      <w:bookmarkEnd w:id="113"/>
      <w:bookmarkEnd w:id="114"/>
    </w:p>
    <w:p w14:paraId="23FCEE3F" w14:textId="77777777" w:rsidR="00FE200F" w:rsidRDefault="00E77CAF">
      <w:pPr>
        <w:pStyle w:val="Heading3"/>
        <w:jc w:val="both"/>
        <w:rPr>
          <w:rFonts w:ascii="Times New Roman" w:hAnsi="Times New Roman" w:cs="Times New Roman"/>
          <w:lang w:val="mk-MK"/>
        </w:rPr>
      </w:pPr>
      <w:bookmarkStart w:id="115" w:name="_Toc240630083"/>
      <w:bookmarkStart w:id="116" w:name="_Toc243908026"/>
      <w:r>
        <w:rPr>
          <w:rFonts w:ascii="Times New Roman" w:hAnsi="Times New Roman" w:cs="Times New Roman"/>
          <w:color w:val="auto"/>
          <w:lang w:val="mk-MK"/>
        </w:rPr>
        <w:t>8.1 Визија</w:t>
      </w:r>
      <w:bookmarkEnd w:id="115"/>
      <w:bookmarkEnd w:id="116"/>
    </w:p>
    <w:p w14:paraId="394CBF01"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Република Северна Македонија – регионален лидер во одговорна и инклузивна вештачка интелигенција, каде ВИ технологиите служат за зголемување на благосостојбата на граѓаните, конкурентноста на економијата и ефи</w:t>
      </w:r>
      <w:r>
        <w:rPr>
          <w:rFonts w:ascii="Times New Roman" w:hAnsi="Times New Roman" w:cs="Times New Roman"/>
          <w:color w:val="auto"/>
          <w:lang w:val="mk-MK"/>
        </w:rPr>
        <w:t>касноста на јавните услуги, во целосна усогласеност со европските вредности и стандарди.</w:t>
      </w:r>
    </w:p>
    <w:p w14:paraId="50485437" w14:textId="77777777" w:rsidR="00FE200F" w:rsidRDefault="00FE200F">
      <w:pPr>
        <w:jc w:val="both"/>
        <w:rPr>
          <w:rFonts w:ascii="Times New Roman" w:hAnsi="Times New Roman" w:cs="Times New Roman"/>
          <w:color w:val="auto"/>
          <w:lang w:val="mk-MK"/>
        </w:rPr>
      </w:pPr>
    </w:p>
    <w:p w14:paraId="01D3AD6F" w14:textId="77777777" w:rsidR="00FE200F" w:rsidRDefault="00E77CAF">
      <w:pPr>
        <w:pStyle w:val="Heading3"/>
        <w:jc w:val="both"/>
        <w:rPr>
          <w:rFonts w:ascii="Times New Roman" w:hAnsi="Times New Roman" w:cs="Times New Roman"/>
          <w:lang w:val="mk-MK"/>
        </w:rPr>
      </w:pPr>
      <w:bookmarkStart w:id="117" w:name="_Toc240630084"/>
      <w:bookmarkStart w:id="118" w:name="_Toc243908027"/>
      <w:r>
        <w:rPr>
          <w:rFonts w:ascii="Times New Roman" w:hAnsi="Times New Roman" w:cs="Times New Roman"/>
          <w:color w:val="auto"/>
          <w:lang w:val="mk-MK"/>
        </w:rPr>
        <w:t>8.2 Мисија</w:t>
      </w:r>
      <w:bookmarkEnd w:id="117"/>
      <w:bookmarkEnd w:id="118"/>
    </w:p>
    <w:p w14:paraId="30B11A92" w14:textId="77777777" w:rsidR="00FE200F" w:rsidRDefault="00E77CAF">
      <w:pPr>
        <w:jc w:val="both"/>
        <w:rPr>
          <w:rFonts w:ascii="Times New Roman" w:hAnsi="Times New Roman" w:cs="Times New Roman"/>
        </w:rPr>
      </w:pPr>
      <w:r>
        <w:rPr>
          <w:rFonts w:ascii="Times New Roman" w:hAnsi="Times New Roman" w:cs="Times New Roman"/>
          <w:bCs/>
        </w:rPr>
        <w:t>Министерството за дигитална трансформација ќе воспостави сеопфатна и флексибилна рамка за управување со вештачката интелигенција, заснована на ризици, која</w:t>
      </w:r>
      <w:r>
        <w:rPr>
          <w:rFonts w:ascii="Times New Roman" w:hAnsi="Times New Roman" w:cs="Times New Roman"/>
          <w:bCs/>
        </w:rPr>
        <w:t xml:space="preserve"> ги балансира иновациите со заштитата на правата, ги координира националните напори, ги искористува меѓународните партнерства и ги подготвува граѓаните и институциите за успешна ВИ транзиција.</w:t>
      </w:r>
    </w:p>
    <w:p w14:paraId="15552311" w14:textId="77777777" w:rsidR="00FE200F" w:rsidRDefault="00E77CAF">
      <w:pPr>
        <w:pStyle w:val="Heading3"/>
        <w:jc w:val="both"/>
        <w:rPr>
          <w:rFonts w:ascii="Times New Roman" w:hAnsi="Times New Roman" w:cs="Times New Roman"/>
          <w:lang w:val="mk-MK"/>
        </w:rPr>
      </w:pPr>
      <w:bookmarkStart w:id="119" w:name="_Toc240630085"/>
      <w:bookmarkStart w:id="120" w:name="_Toc243908028"/>
      <w:r>
        <w:rPr>
          <w:rFonts w:ascii="Times New Roman" w:hAnsi="Times New Roman" w:cs="Times New Roman"/>
          <w:color w:val="auto"/>
          <w:lang w:val="mk-MK"/>
        </w:rPr>
        <w:t>8.3 Стратешки цели (СЦ-1 до СЦ-6)</w:t>
      </w:r>
      <w:bookmarkEnd w:id="119"/>
      <w:bookmarkEnd w:id="120"/>
    </w:p>
    <w:tbl>
      <w:tblPr>
        <w:tblStyle w:val="GridTable5Dark-Accent5"/>
        <w:tblW w:w="9112" w:type="dxa"/>
        <w:tblInd w:w="113" w:type="dxa"/>
        <w:shd w:val="clear" w:color="auto" w:fill="DAEEF3"/>
        <w:tblLayout w:type="fixed"/>
        <w:tblLook w:val="04A0" w:firstRow="1" w:lastRow="0" w:firstColumn="1" w:lastColumn="0" w:noHBand="0" w:noVBand="1"/>
      </w:tblPr>
      <w:tblGrid>
        <w:gridCol w:w="2278"/>
        <w:gridCol w:w="2279"/>
        <w:gridCol w:w="2278"/>
        <w:gridCol w:w="2277"/>
      </w:tblGrid>
      <w:tr w:rsidR="00FE200F" w14:paraId="20F1109B" w14:textId="77777777" w:rsidTr="00FE20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7" w:type="dxa"/>
          </w:tcPr>
          <w:p w14:paraId="7E2F0D5A"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Цел</w:t>
            </w:r>
          </w:p>
        </w:tc>
        <w:tc>
          <w:tcPr>
            <w:tcW w:w="2279" w:type="dxa"/>
            <w:tcBorders>
              <w:bottom w:val="nil"/>
            </w:tcBorders>
          </w:tcPr>
          <w:p w14:paraId="6E202F27" w14:textId="77777777" w:rsidR="00FE200F" w:rsidRDefault="00E77CA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Наслов</w:t>
            </w:r>
          </w:p>
        </w:tc>
        <w:tc>
          <w:tcPr>
            <w:tcW w:w="2278" w:type="dxa"/>
            <w:tcBorders>
              <w:bottom w:val="nil"/>
            </w:tcBorders>
          </w:tcPr>
          <w:p w14:paraId="63BDD5F0" w14:textId="77777777" w:rsidR="00FE200F" w:rsidRDefault="00E77CA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Опис</w:t>
            </w:r>
          </w:p>
        </w:tc>
        <w:tc>
          <w:tcPr>
            <w:tcW w:w="2277" w:type="dxa"/>
            <w:tcBorders>
              <w:bottom w:val="nil"/>
            </w:tcBorders>
          </w:tcPr>
          <w:p w14:paraId="04C55240" w14:textId="77777777" w:rsidR="00FE200F" w:rsidRDefault="00E77CA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Поврзаност со</w:t>
            </w:r>
            <w:r>
              <w:rPr>
                <w:rFonts w:ascii="Times New Roman" w:hAnsi="Times New Roman" w:cs="Times New Roman"/>
                <w:color w:val="auto"/>
                <w:lang w:val="mk-MK"/>
              </w:rPr>
              <w:t xml:space="preserve"> НРС/СМАРТ</w:t>
            </w:r>
          </w:p>
        </w:tc>
      </w:tr>
      <w:tr w:rsidR="00FE200F" w14:paraId="2A385D59"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7" w:type="dxa"/>
            <w:tcBorders>
              <w:right w:val="nil"/>
            </w:tcBorders>
          </w:tcPr>
          <w:p w14:paraId="5B16DC5B"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СЦ-1</w:t>
            </w:r>
          </w:p>
        </w:tc>
        <w:tc>
          <w:tcPr>
            <w:tcW w:w="2279" w:type="dxa"/>
          </w:tcPr>
          <w:p w14:paraId="171064EE"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Правна и регулаторна рамка</w:t>
            </w:r>
          </w:p>
        </w:tc>
        <w:tc>
          <w:tcPr>
            <w:tcW w:w="2278" w:type="dxa"/>
          </w:tcPr>
          <w:p w14:paraId="6AFCB814" w14:textId="13BDA5AC"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Усвојување на Закон за ВИ усогласен со ЕУ AI Act до Q4 202</w:t>
            </w:r>
            <w:r w:rsidR="009C2D42">
              <w:rPr>
                <w:rFonts w:ascii="Times New Roman" w:hAnsi="Times New Roman" w:cs="Times New Roman"/>
                <w:color w:val="auto"/>
                <w:lang w:val="mk-MK"/>
              </w:rPr>
              <w:t>7</w:t>
            </w:r>
          </w:p>
        </w:tc>
        <w:tc>
          <w:tcPr>
            <w:tcW w:w="2277" w:type="dxa"/>
          </w:tcPr>
          <w:p w14:paraId="7C2ECB40"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НРС Столб 1; СМАРТ 4.3</w:t>
            </w:r>
          </w:p>
        </w:tc>
      </w:tr>
      <w:tr w:rsidR="00FE200F" w14:paraId="153CF11B" w14:textId="77777777" w:rsidTr="00FE200F">
        <w:tc>
          <w:tcPr>
            <w:cnfStyle w:val="001000000000" w:firstRow="0" w:lastRow="0" w:firstColumn="1" w:lastColumn="0" w:oddVBand="0" w:evenVBand="0" w:oddHBand="0" w:evenHBand="0" w:firstRowFirstColumn="0" w:firstRowLastColumn="0" w:lastRowFirstColumn="0" w:lastRowLastColumn="0"/>
            <w:tcW w:w="2277" w:type="dxa"/>
            <w:tcBorders>
              <w:right w:val="nil"/>
            </w:tcBorders>
          </w:tcPr>
          <w:p w14:paraId="4F61E5FD"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lastRenderedPageBreak/>
              <w:t>СЦ-2</w:t>
            </w:r>
          </w:p>
        </w:tc>
        <w:tc>
          <w:tcPr>
            <w:tcW w:w="2279" w:type="dxa"/>
          </w:tcPr>
          <w:p w14:paraId="79C0FFC3"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Институционален капацитет</w:t>
            </w:r>
          </w:p>
        </w:tc>
        <w:tc>
          <w:tcPr>
            <w:tcW w:w="2278" w:type="dxa"/>
          </w:tcPr>
          <w:p w14:paraId="7C20C868"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Воспоставување на национален орган за ВИ со целосен мандат до Q4 2027</w:t>
            </w:r>
          </w:p>
        </w:tc>
        <w:tc>
          <w:tcPr>
            <w:tcW w:w="2277" w:type="dxa"/>
          </w:tcPr>
          <w:p w14:paraId="10B545A1"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НРС Столб 1; СМАРТ 4.3</w:t>
            </w:r>
          </w:p>
        </w:tc>
      </w:tr>
      <w:tr w:rsidR="00FE200F" w14:paraId="6679A884"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7" w:type="dxa"/>
            <w:tcBorders>
              <w:right w:val="nil"/>
            </w:tcBorders>
          </w:tcPr>
          <w:p w14:paraId="5DFA5473"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СЦ-3</w:t>
            </w:r>
          </w:p>
        </w:tc>
        <w:tc>
          <w:tcPr>
            <w:tcW w:w="2279" w:type="dxa"/>
          </w:tcPr>
          <w:p w14:paraId="6786B018"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ВИ образование и вештини</w:t>
            </w:r>
          </w:p>
        </w:tc>
        <w:tc>
          <w:tcPr>
            <w:tcW w:w="2278" w:type="dxa"/>
          </w:tcPr>
          <w:p w14:paraId="351E6D46" w14:textId="6BA9FCA0"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Интеграција на ВИ во образовниот систем на сите нивоа до 202</w:t>
            </w:r>
            <w:r w:rsidR="009C2D42">
              <w:rPr>
                <w:rFonts w:ascii="Times New Roman" w:hAnsi="Times New Roman" w:cs="Times New Roman"/>
                <w:color w:val="auto"/>
                <w:lang w:val="mk-MK"/>
              </w:rPr>
              <w:t>7</w:t>
            </w:r>
          </w:p>
        </w:tc>
        <w:tc>
          <w:tcPr>
            <w:tcW w:w="2277" w:type="dxa"/>
          </w:tcPr>
          <w:p w14:paraId="6B52E720"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НРС Столб 3; СМАРТ Столб 4</w:t>
            </w:r>
          </w:p>
        </w:tc>
      </w:tr>
      <w:tr w:rsidR="00FE200F" w14:paraId="321CDC03" w14:textId="77777777" w:rsidTr="00FE200F">
        <w:tc>
          <w:tcPr>
            <w:cnfStyle w:val="001000000000" w:firstRow="0" w:lastRow="0" w:firstColumn="1" w:lastColumn="0" w:oddVBand="0" w:evenVBand="0" w:oddHBand="0" w:evenHBand="0" w:firstRowFirstColumn="0" w:firstRowLastColumn="0" w:lastRowFirstColumn="0" w:lastRowLastColumn="0"/>
            <w:tcW w:w="2277" w:type="dxa"/>
            <w:tcBorders>
              <w:right w:val="nil"/>
            </w:tcBorders>
          </w:tcPr>
          <w:p w14:paraId="6442AD63"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СЦ-4</w:t>
            </w:r>
          </w:p>
        </w:tc>
        <w:tc>
          <w:tcPr>
            <w:tcW w:w="2279" w:type="dxa"/>
          </w:tcPr>
          <w:p w14:paraId="6D029C35"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ВИ инфраструктура и иновации</w:t>
            </w:r>
          </w:p>
        </w:tc>
        <w:tc>
          <w:tcPr>
            <w:tcW w:w="2278" w:type="dxa"/>
          </w:tcPr>
          <w:p w14:paraId="182F9704" w14:textId="6B3B2AD8"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 xml:space="preserve">Воспоставување на национален ВИ центар и </w:t>
            </w:r>
            <w:r>
              <w:rPr>
                <w:rFonts w:ascii="Times New Roman" w:hAnsi="Times New Roman" w:cs="Times New Roman"/>
                <w:i/>
                <w:iCs/>
                <w:color w:val="auto"/>
                <w:lang w:val="mk-MK"/>
              </w:rPr>
              <w:t>HPC</w:t>
            </w:r>
            <w:r>
              <w:rPr>
                <w:rFonts w:ascii="Times New Roman" w:hAnsi="Times New Roman" w:cs="Times New Roman"/>
                <w:color w:val="auto"/>
                <w:lang w:val="mk-MK"/>
              </w:rPr>
              <w:t xml:space="preserve"> инфраструктура до 202</w:t>
            </w:r>
            <w:r w:rsidR="009C2D42">
              <w:rPr>
                <w:rFonts w:ascii="Times New Roman" w:hAnsi="Times New Roman" w:cs="Times New Roman"/>
                <w:color w:val="auto"/>
                <w:lang w:val="mk-MK"/>
              </w:rPr>
              <w:t>7</w:t>
            </w:r>
          </w:p>
        </w:tc>
        <w:tc>
          <w:tcPr>
            <w:tcW w:w="2277" w:type="dxa"/>
          </w:tcPr>
          <w:p w14:paraId="74C12E5F"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НРС Столб 2; СМАРТ Столб 1</w:t>
            </w:r>
          </w:p>
        </w:tc>
      </w:tr>
      <w:tr w:rsidR="00FE200F" w14:paraId="42BFDBC5" w14:textId="77777777" w:rsidTr="00FE2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7" w:type="dxa"/>
            <w:tcBorders>
              <w:right w:val="nil"/>
            </w:tcBorders>
          </w:tcPr>
          <w:p w14:paraId="18312F57"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СЦ-5</w:t>
            </w:r>
          </w:p>
        </w:tc>
        <w:tc>
          <w:tcPr>
            <w:tcW w:w="2279" w:type="dxa"/>
          </w:tcPr>
          <w:p w14:paraId="31F1E4B0"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ВИ во јавниот сектор</w:t>
            </w:r>
          </w:p>
        </w:tc>
        <w:tc>
          <w:tcPr>
            <w:tcW w:w="2278" w:type="dxa"/>
          </w:tcPr>
          <w:p w14:paraId="27DF03BD" w14:textId="6117F260"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Имплементација на 5 ВИ пилот проекти во јавниот сектор до 202</w:t>
            </w:r>
            <w:r w:rsidR="009C2D42">
              <w:rPr>
                <w:rFonts w:ascii="Times New Roman" w:hAnsi="Times New Roman" w:cs="Times New Roman"/>
                <w:color w:val="auto"/>
                <w:lang w:val="mk-MK"/>
              </w:rPr>
              <w:t>8</w:t>
            </w:r>
          </w:p>
        </w:tc>
        <w:tc>
          <w:tcPr>
            <w:tcW w:w="2277" w:type="dxa"/>
          </w:tcPr>
          <w:p w14:paraId="319F2E4C"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НРС Столб 1; СМАРТ Столб 2</w:t>
            </w:r>
          </w:p>
        </w:tc>
      </w:tr>
      <w:tr w:rsidR="00FE200F" w14:paraId="6CC83408" w14:textId="77777777" w:rsidTr="00FE200F">
        <w:tc>
          <w:tcPr>
            <w:cnfStyle w:val="001000000000" w:firstRow="0" w:lastRow="0" w:firstColumn="1" w:lastColumn="0" w:oddVBand="0" w:evenVBand="0" w:oddHBand="0" w:evenHBand="0" w:firstRowFirstColumn="0" w:firstRowLastColumn="0" w:lastRowFirstColumn="0" w:lastRowLastColumn="0"/>
            <w:tcW w:w="2277" w:type="dxa"/>
            <w:tcBorders>
              <w:right w:val="nil"/>
            </w:tcBorders>
          </w:tcPr>
          <w:p w14:paraId="555EFD51"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СЦ-6</w:t>
            </w:r>
          </w:p>
        </w:tc>
        <w:tc>
          <w:tcPr>
            <w:tcW w:w="2279" w:type="dxa"/>
          </w:tcPr>
          <w:p w14:paraId="3828E3B8"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Јавна доверба и транспарентност</w:t>
            </w:r>
          </w:p>
        </w:tc>
        <w:tc>
          <w:tcPr>
            <w:tcW w:w="2278" w:type="dxa"/>
          </w:tcPr>
          <w:p w14:paraId="13B4D4C6" w14:textId="22C0D8BD"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Воспоставување на регистар на ВИ системи и механизми за редрес до 202</w:t>
            </w:r>
            <w:r w:rsidR="009C2D42">
              <w:rPr>
                <w:rFonts w:ascii="Times New Roman" w:hAnsi="Times New Roman" w:cs="Times New Roman"/>
                <w:color w:val="auto"/>
                <w:lang w:val="mk-MK"/>
              </w:rPr>
              <w:t>7</w:t>
            </w:r>
          </w:p>
        </w:tc>
        <w:tc>
          <w:tcPr>
            <w:tcW w:w="2277" w:type="dxa"/>
          </w:tcPr>
          <w:p w14:paraId="1B537BFC"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auto"/>
                <w:lang w:val="mk-MK"/>
              </w:rPr>
              <w:t>НРС Столб 1; СМАРТ 4.3</w:t>
            </w:r>
          </w:p>
        </w:tc>
      </w:tr>
    </w:tbl>
    <w:p w14:paraId="57810DAB" w14:textId="77777777" w:rsidR="00FE200F" w:rsidRDefault="00FE200F">
      <w:pPr>
        <w:jc w:val="both"/>
        <w:rPr>
          <w:rFonts w:ascii="Times New Roman" w:hAnsi="Times New Roman" w:cs="Times New Roman"/>
          <w:color w:val="auto"/>
          <w:lang w:val="mk-MK"/>
        </w:rPr>
      </w:pPr>
    </w:p>
    <w:p w14:paraId="0CF62F38"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 xml:space="preserve">Врз основа </w:t>
      </w:r>
      <w:r>
        <w:rPr>
          <w:rFonts w:ascii="Times New Roman" w:hAnsi="Times New Roman" w:cs="Times New Roman"/>
          <w:color w:val="auto"/>
          <w:lang w:val="mk-MK"/>
        </w:rPr>
        <w:t xml:space="preserve">на анализата и регионалната компаративна анализа, дефинирани се шест стратешки цели (СЦ) кои ја операционализираат Визијата. Секоја цел е директно поврзана со идентификуваните системски бариери, </w:t>
      </w:r>
      <w:r>
        <w:rPr>
          <w:rFonts w:ascii="Times New Roman" w:hAnsi="Times New Roman" w:cs="Times New Roman"/>
          <w:i/>
          <w:iCs/>
          <w:color w:val="auto"/>
          <w:lang w:val="mk-MK"/>
        </w:rPr>
        <w:t>SWOT</w:t>
      </w:r>
      <w:r>
        <w:rPr>
          <w:rFonts w:ascii="Times New Roman" w:hAnsi="Times New Roman" w:cs="Times New Roman"/>
          <w:color w:val="auto"/>
          <w:lang w:val="mk-MK"/>
        </w:rPr>
        <w:t xml:space="preserve"> и </w:t>
      </w:r>
      <w:r>
        <w:rPr>
          <w:rFonts w:ascii="Times New Roman" w:hAnsi="Times New Roman" w:cs="Times New Roman"/>
          <w:i/>
          <w:iCs/>
          <w:color w:val="auto"/>
          <w:lang w:val="mk-MK"/>
        </w:rPr>
        <w:t>PESTLE</w:t>
      </w:r>
      <w:r>
        <w:rPr>
          <w:rFonts w:ascii="Times New Roman" w:hAnsi="Times New Roman" w:cs="Times New Roman"/>
          <w:color w:val="auto"/>
          <w:lang w:val="mk-MK"/>
        </w:rPr>
        <w:t xml:space="preserve"> наодите.</w:t>
      </w:r>
    </w:p>
    <w:p w14:paraId="5B7E1F81" w14:textId="77777777" w:rsidR="00FE200F" w:rsidRDefault="00FE200F">
      <w:pPr>
        <w:jc w:val="both"/>
        <w:rPr>
          <w:rFonts w:ascii="Times New Roman" w:hAnsi="Times New Roman" w:cs="Times New Roman"/>
          <w:color w:val="auto"/>
          <w:lang w:val="mk-MK"/>
        </w:rPr>
      </w:pPr>
    </w:p>
    <w:p w14:paraId="108B7F7E" w14:textId="77777777" w:rsidR="00FE200F" w:rsidRDefault="00E77CAF">
      <w:pPr>
        <w:pStyle w:val="Heading4"/>
        <w:jc w:val="both"/>
        <w:rPr>
          <w:rFonts w:ascii="Times New Roman" w:hAnsi="Times New Roman" w:cs="Times New Roman"/>
          <w:lang w:val="mk-MK"/>
        </w:rPr>
      </w:pPr>
      <w:r>
        <w:rPr>
          <w:rFonts w:ascii="Times New Roman" w:hAnsi="Times New Roman" w:cs="Times New Roman"/>
          <w:i w:val="0"/>
          <w:iCs w:val="0"/>
          <w:color w:val="auto"/>
          <w:lang w:val="mk-MK"/>
        </w:rPr>
        <w:t xml:space="preserve">СЦ-1: Правна и регулаторна рамка за </w:t>
      </w:r>
      <w:r>
        <w:rPr>
          <w:rFonts w:ascii="Times New Roman" w:hAnsi="Times New Roman" w:cs="Times New Roman"/>
          <w:i w:val="0"/>
          <w:iCs w:val="0"/>
          <w:color w:val="auto"/>
          <w:lang w:val="mk-MK"/>
        </w:rPr>
        <w:t>ВИ</w:t>
      </w:r>
    </w:p>
    <w:p w14:paraId="52A6C044" w14:textId="587A1393" w:rsidR="00FE200F" w:rsidRDefault="00E77CAF">
      <w:pPr>
        <w:jc w:val="both"/>
        <w:rPr>
          <w:rFonts w:ascii="Times New Roman" w:hAnsi="Times New Roman" w:cs="Times New Roman"/>
          <w:lang w:val="mk-MK"/>
        </w:rPr>
      </w:pPr>
      <w:r>
        <w:rPr>
          <w:rFonts w:ascii="Times New Roman" w:hAnsi="Times New Roman" w:cs="Times New Roman"/>
          <w:color w:val="auto"/>
          <w:lang w:val="mk-MK"/>
        </w:rPr>
        <w:t>Подготовка и усвојување на Закон за ВИ усогласен со EU AI Act во периодот Q3 2027–Q4 202</w:t>
      </w:r>
      <w:r w:rsidR="009C2D42">
        <w:rPr>
          <w:rFonts w:ascii="Times New Roman" w:hAnsi="Times New Roman" w:cs="Times New Roman"/>
          <w:color w:val="auto"/>
          <w:lang w:val="mk-MK"/>
        </w:rPr>
        <w:t>7</w:t>
      </w:r>
      <w:r>
        <w:rPr>
          <w:rFonts w:ascii="Times New Roman" w:hAnsi="Times New Roman" w:cs="Times New Roman"/>
          <w:color w:val="auto"/>
          <w:lang w:val="mk-MK"/>
        </w:rPr>
        <w:t xml:space="preserve">, анализа и доуточнување на релевантната регулатива, вклучително и поврзаните барања за сајбер-безбедност, и воспоставување на Национален орган за ВИ при МДТ до Q4 </w:t>
      </w:r>
      <w:r>
        <w:rPr>
          <w:rFonts w:ascii="Times New Roman" w:hAnsi="Times New Roman" w:cs="Times New Roman"/>
          <w:color w:val="auto"/>
          <w:lang w:val="mk-MK"/>
        </w:rPr>
        <w:t>2027. Мерливиот напредок се следи со индикаторите за Policy Capacity и Governance утврдени во поглавјето за следење. Поврзаност: Сл1 (SWOT), Л1/Л5 (PESTLE), Бариера 1 (ToC).</w:t>
      </w:r>
    </w:p>
    <w:p w14:paraId="622AD315" w14:textId="77777777" w:rsidR="00FE200F" w:rsidRDefault="00FE200F">
      <w:pPr>
        <w:jc w:val="both"/>
        <w:rPr>
          <w:rFonts w:ascii="Times New Roman" w:hAnsi="Times New Roman" w:cs="Times New Roman"/>
          <w:color w:val="auto"/>
          <w:lang w:val="mk-MK"/>
        </w:rPr>
      </w:pPr>
    </w:p>
    <w:p w14:paraId="1FF0B96D" w14:textId="77777777" w:rsidR="00FE200F" w:rsidRDefault="00E77CAF">
      <w:pPr>
        <w:pStyle w:val="Heading4"/>
        <w:jc w:val="both"/>
        <w:rPr>
          <w:rFonts w:ascii="Times New Roman" w:hAnsi="Times New Roman" w:cs="Times New Roman"/>
          <w:lang w:val="mk-MK"/>
        </w:rPr>
      </w:pPr>
      <w:r>
        <w:rPr>
          <w:rFonts w:ascii="Times New Roman" w:hAnsi="Times New Roman" w:cs="Times New Roman"/>
          <w:i w:val="0"/>
          <w:iCs w:val="0"/>
          <w:color w:val="auto"/>
          <w:lang w:val="mk-MK"/>
        </w:rPr>
        <w:t>СЦ-2: Институционален капацитет и координација</w:t>
      </w:r>
    </w:p>
    <w:p w14:paraId="71065A8B"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Воспоставување на функционален Нац</w:t>
      </w:r>
      <w:r>
        <w:rPr>
          <w:rFonts w:ascii="Times New Roman" w:hAnsi="Times New Roman" w:cs="Times New Roman"/>
          <w:color w:val="auto"/>
          <w:lang w:val="mk-MK"/>
        </w:rPr>
        <w:t>ионален орган за ВИ со јасен мандат, буџет и кадар до Q2 2027; формирање на меѓуресорска координативна група (МДТ, МЈА, МОН, МЕТ, АЗЛП) до Q1 2028; воспоставување на регулаторен sandbox за ВИ иновации до Q4 2029. Мерлив резултат: Oxford Insights Governance</w:t>
      </w:r>
      <w:r>
        <w:rPr>
          <w:rFonts w:ascii="Times New Roman" w:hAnsi="Times New Roman" w:cs="Times New Roman"/>
          <w:color w:val="auto"/>
          <w:lang w:val="mk-MK"/>
        </w:rPr>
        <w:t xml:space="preserve"> score од 45.00 на 60.00+ до 2028. Поврзаност: С8 (SWOT), Л3/Л5 (PESTLE), Бариера 2 (ToC).</w:t>
      </w:r>
    </w:p>
    <w:p w14:paraId="1BCC7F6F" w14:textId="77777777" w:rsidR="00FE200F" w:rsidRDefault="00FE200F">
      <w:pPr>
        <w:jc w:val="both"/>
        <w:rPr>
          <w:rFonts w:ascii="Times New Roman" w:hAnsi="Times New Roman" w:cs="Times New Roman"/>
          <w:color w:val="auto"/>
          <w:lang w:val="mk-MK"/>
        </w:rPr>
      </w:pPr>
    </w:p>
    <w:p w14:paraId="0F417F3F" w14:textId="77777777" w:rsidR="00FE200F" w:rsidRDefault="00E77CAF">
      <w:pPr>
        <w:pStyle w:val="Heading4"/>
        <w:jc w:val="both"/>
        <w:rPr>
          <w:rFonts w:ascii="Times New Roman" w:hAnsi="Times New Roman" w:cs="Times New Roman"/>
          <w:lang w:val="mk-MK"/>
        </w:rPr>
      </w:pPr>
      <w:r>
        <w:rPr>
          <w:rFonts w:ascii="Times New Roman" w:hAnsi="Times New Roman" w:cs="Times New Roman"/>
          <w:i w:val="0"/>
          <w:iCs w:val="0"/>
          <w:color w:val="auto"/>
          <w:lang w:val="mk-MK"/>
        </w:rPr>
        <w:lastRenderedPageBreak/>
        <w:t>СЦ-3: ВИ образование, истражување вештини и задржување на таленти</w:t>
      </w:r>
    </w:p>
    <w:p w14:paraId="5EBB5705"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Интеграција на ВИ содржини во наставните програми на сите образовни нивоа во периодот 2027–2029; в</w:t>
      </w:r>
      <w:r>
        <w:rPr>
          <w:rFonts w:ascii="Times New Roman" w:hAnsi="Times New Roman" w:cs="Times New Roman"/>
          <w:color w:val="auto"/>
          <w:lang w:val="mk-MK"/>
        </w:rPr>
        <w:t>оспоставување и унапредување на специјализирани ВИ програми на универзитетско ниво; програми за задржување и враќање на таленти во согласност со фискалните, правните и буџетските услови; и обука на јавни службеници за ВИ писменост. Мерливиот напредок се сл</w:t>
      </w:r>
      <w:r>
        <w:rPr>
          <w:rFonts w:ascii="Times New Roman" w:hAnsi="Times New Roman" w:cs="Times New Roman"/>
          <w:color w:val="auto"/>
          <w:lang w:val="mk-MK"/>
        </w:rPr>
        <w:t>еди преку индикаторите за Development &amp; Diffusion во поглавјето за следење. Поврзаност: С1 (SWOT), С1/Е3 (PESTLE), Бариера 3 (ToC), З9 (SWOT).</w:t>
      </w:r>
    </w:p>
    <w:p w14:paraId="5406516D" w14:textId="77777777" w:rsidR="00FE200F" w:rsidRDefault="00FE200F">
      <w:pPr>
        <w:jc w:val="both"/>
        <w:rPr>
          <w:rFonts w:ascii="Times New Roman" w:hAnsi="Times New Roman" w:cs="Times New Roman"/>
          <w:color w:val="auto"/>
          <w:lang w:val="mk-MK"/>
        </w:rPr>
      </w:pPr>
    </w:p>
    <w:p w14:paraId="116EB10C" w14:textId="77777777" w:rsidR="00FE200F" w:rsidRDefault="00E77CAF">
      <w:pPr>
        <w:pStyle w:val="Heading4"/>
        <w:jc w:val="both"/>
        <w:rPr>
          <w:rFonts w:ascii="Times New Roman" w:hAnsi="Times New Roman" w:cs="Times New Roman"/>
          <w:lang w:val="mk-MK"/>
        </w:rPr>
      </w:pPr>
      <w:r>
        <w:rPr>
          <w:rFonts w:ascii="Times New Roman" w:hAnsi="Times New Roman" w:cs="Times New Roman"/>
          <w:i w:val="0"/>
          <w:iCs w:val="0"/>
          <w:color w:val="auto"/>
          <w:lang w:val="mk-MK"/>
        </w:rPr>
        <w:t>СЦ-4: ВИ инфраструктура, податоци и иновациски екосистем</w:t>
      </w:r>
    </w:p>
    <w:p w14:paraId="5E8AC2CB"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Пристап до EuroHPC ресурси или воспоставување на регион</w:t>
      </w:r>
      <w:r>
        <w:rPr>
          <w:rFonts w:ascii="Times New Roman" w:hAnsi="Times New Roman" w:cs="Times New Roman"/>
          <w:color w:val="auto"/>
          <w:lang w:val="mk-MK"/>
        </w:rPr>
        <w:t xml:space="preserve">ален HPC центар до 2027; зголемување на отворените датасети на data.gov.mk на 900+ со висок квалитет – директно употребливи за тренирање на ВИ, до 2030 (од тековни ~580); воспоставување на Национален ВИ центар (истражување + комерцијализација) до Q4 2027; </w:t>
      </w:r>
      <w:r>
        <w:rPr>
          <w:rFonts w:ascii="Times New Roman" w:hAnsi="Times New Roman" w:cs="Times New Roman"/>
          <w:color w:val="auto"/>
          <w:lang w:val="mk-MK"/>
        </w:rPr>
        <w:t>привлекување на минимум 2 меѓународни ВИ компании/инвестиции до 2028. Мерлив резултат: Oxford Insights AI Infrastructure score од 41.12 на 50.00+ до 2028. Поврзаност: Сл5/С7 (SWOT), Т1/Т3/Е3 (PESTLE), Бариера 4 (ToC).</w:t>
      </w:r>
    </w:p>
    <w:p w14:paraId="0C5FD0BF" w14:textId="77777777" w:rsidR="00FE200F" w:rsidRDefault="00FE200F">
      <w:pPr>
        <w:jc w:val="both"/>
        <w:rPr>
          <w:rFonts w:ascii="Times New Roman" w:hAnsi="Times New Roman" w:cs="Times New Roman"/>
          <w:color w:val="auto"/>
          <w:lang w:val="mk-MK"/>
        </w:rPr>
      </w:pPr>
    </w:p>
    <w:p w14:paraId="52D7F18C" w14:textId="77777777" w:rsidR="00FE200F" w:rsidRDefault="00E77CAF">
      <w:pPr>
        <w:pStyle w:val="Heading4"/>
        <w:jc w:val="both"/>
        <w:rPr>
          <w:rFonts w:ascii="Times New Roman" w:hAnsi="Times New Roman" w:cs="Times New Roman"/>
          <w:lang w:val="mk-MK"/>
        </w:rPr>
      </w:pPr>
      <w:r>
        <w:rPr>
          <w:rFonts w:ascii="Times New Roman" w:hAnsi="Times New Roman" w:cs="Times New Roman"/>
          <w:i w:val="0"/>
          <w:iCs w:val="0"/>
          <w:color w:val="auto"/>
          <w:lang w:val="mk-MK"/>
        </w:rPr>
        <w:t>СЦ-5: ВИ во јавниот сектор — пилот пр</w:t>
      </w:r>
      <w:r>
        <w:rPr>
          <w:rFonts w:ascii="Times New Roman" w:hAnsi="Times New Roman" w:cs="Times New Roman"/>
          <w:i w:val="0"/>
          <w:iCs w:val="0"/>
          <w:color w:val="auto"/>
          <w:lang w:val="mk-MK"/>
        </w:rPr>
        <w:t>оекти и скалирање</w:t>
      </w:r>
    </w:p>
    <w:p w14:paraId="415A709C"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Имплементација на 5 ВИ пилот проекти во јавниот сектор до 2028, приоритетно: ВИ асистент за граѓани на порталот е-услуги, автоматизирана обработка на барања во јавната администрација, ВИ-базирана анализа на јавни набавки за детекција на н</w:t>
      </w:r>
      <w:r>
        <w:rPr>
          <w:rFonts w:ascii="Times New Roman" w:hAnsi="Times New Roman" w:cs="Times New Roman"/>
          <w:color w:val="auto"/>
          <w:lang w:val="mk-MK"/>
        </w:rPr>
        <w:t>ерегуларности, предиктивна аналитика за здравствен систем и ВИ-поддржано образование (адаптивно учење). Мерлив резултат: Oxford Insights Public Sector Adoption score од 46.55 на 65.00+ до 2028. Поврзаност: З1/З2 (SWOT), П1/П2 (PESTLE), РЕЗУЛТАТ 3 (Logframe</w:t>
      </w:r>
      <w:r>
        <w:rPr>
          <w:rFonts w:ascii="Times New Roman" w:hAnsi="Times New Roman" w:cs="Times New Roman"/>
          <w:color w:val="auto"/>
          <w:lang w:val="mk-MK"/>
        </w:rPr>
        <w:t>).</w:t>
      </w:r>
    </w:p>
    <w:p w14:paraId="459EE7F7" w14:textId="77777777" w:rsidR="00FE200F" w:rsidRDefault="00FE200F">
      <w:pPr>
        <w:jc w:val="both"/>
        <w:rPr>
          <w:rFonts w:ascii="Times New Roman" w:hAnsi="Times New Roman" w:cs="Times New Roman"/>
          <w:color w:val="auto"/>
          <w:lang w:val="mk-MK"/>
        </w:rPr>
      </w:pPr>
    </w:p>
    <w:p w14:paraId="7C35B9A8" w14:textId="77777777" w:rsidR="00FE200F" w:rsidRDefault="00E77CAF">
      <w:pPr>
        <w:pStyle w:val="Heading4"/>
        <w:jc w:val="both"/>
        <w:rPr>
          <w:rFonts w:ascii="Times New Roman" w:hAnsi="Times New Roman" w:cs="Times New Roman"/>
          <w:lang w:val="mk-MK"/>
        </w:rPr>
      </w:pPr>
      <w:r>
        <w:rPr>
          <w:rFonts w:ascii="Times New Roman" w:hAnsi="Times New Roman" w:cs="Times New Roman"/>
          <w:i w:val="0"/>
          <w:iCs w:val="0"/>
          <w:color w:val="auto"/>
          <w:lang w:val="mk-MK"/>
        </w:rPr>
        <w:t>СЦ-6: Јавна доверба, транспарентност и инклузивност</w:t>
      </w:r>
    </w:p>
    <w:p w14:paraId="34205473" w14:textId="77777777" w:rsidR="00FE200F" w:rsidRDefault="00E77CAF">
      <w:pPr>
        <w:jc w:val="both"/>
        <w:rPr>
          <w:rFonts w:ascii="Times New Roman" w:hAnsi="Times New Roman" w:cs="Times New Roman"/>
          <w:lang w:val="mk-MK"/>
        </w:rPr>
      </w:pPr>
      <w:r>
        <w:rPr>
          <w:rFonts w:ascii="Times New Roman" w:hAnsi="Times New Roman" w:cs="Times New Roman"/>
          <w:color w:val="auto"/>
          <w:lang w:val="mk-MK"/>
        </w:rPr>
        <w:t>Воспоставување на јавен регистар на ВИ системи во употреба во јавниот сектор до Q2 2027; механизам за жалби и редрес за граѓани погодени од алгоритамски одлуки до Q4 2027; годишен Национален ВИ Бароме</w:t>
      </w:r>
      <w:r>
        <w:rPr>
          <w:rFonts w:ascii="Times New Roman" w:hAnsi="Times New Roman" w:cs="Times New Roman"/>
          <w:color w:val="auto"/>
          <w:lang w:val="mk-MK"/>
        </w:rPr>
        <w:t>тар базиран на 6 Oxford Insights димензии (Policy Capacity, AI Infrastructure, Governance, Public Sector Adoption, Development &amp; Diffusion, Resilience) со јавно достапни резултати; и проактивна комуникациска стратегија за ВИ со почеток во Q1 2027 и прв цик</w:t>
      </w:r>
      <w:r>
        <w:rPr>
          <w:rFonts w:ascii="Times New Roman" w:hAnsi="Times New Roman" w:cs="Times New Roman"/>
          <w:color w:val="auto"/>
          <w:lang w:val="mk-MK"/>
        </w:rPr>
        <w:t>лус до Q2 2028. Мерливиот напредок се следи преку индикаторите за Resilience во поглавјето за следење. Поврзаност: С4 (PESTLE), С4 (SWOT), СлЗ4 (TOWS стратегија).</w:t>
      </w:r>
    </w:p>
    <w:p w14:paraId="57548157" w14:textId="77777777" w:rsidR="00FE200F" w:rsidRDefault="00FE200F">
      <w:pPr>
        <w:rPr>
          <w:rFonts w:ascii="Times New Roman" w:hAnsi="Times New Roman" w:cs="Times New Roman"/>
        </w:rPr>
      </w:pPr>
    </w:p>
    <w:p w14:paraId="5FF2BDF8" w14:textId="77777777" w:rsidR="00FE200F" w:rsidRDefault="00E77CAF">
      <w:pPr>
        <w:pStyle w:val="Heading2"/>
        <w:rPr>
          <w:rFonts w:ascii="Times New Roman" w:hAnsi="Times New Roman" w:cs="Times New Roman"/>
          <w:color w:val="auto"/>
          <w:sz w:val="22"/>
          <w:szCs w:val="22"/>
        </w:rPr>
      </w:pPr>
      <w:bookmarkStart w:id="121" w:name="_Toc240630086"/>
      <w:bookmarkStart w:id="122" w:name="_Toc243908029"/>
      <w:r>
        <w:rPr>
          <w:rFonts w:ascii="Times New Roman" w:hAnsi="Times New Roman" w:cs="Times New Roman"/>
          <w:color w:val="auto"/>
          <w:sz w:val="22"/>
          <w:szCs w:val="22"/>
          <w:lang w:val="mk-MK"/>
        </w:rPr>
        <w:t>8</w:t>
      </w:r>
      <w:r>
        <w:rPr>
          <w:rFonts w:ascii="Times New Roman" w:hAnsi="Times New Roman" w:cs="Times New Roman"/>
          <w:color w:val="auto"/>
          <w:sz w:val="22"/>
          <w:szCs w:val="22"/>
        </w:rPr>
        <w:t>.4 Хоризонтални теми</w:t>
      </w:r>
      <w:bookmarkEnd w:id="121"/>
      <w:bookmarkEnd w:id="122"/>
    </w:p>
    <w:p w14:paraId="7E6ECB5A" w14:textId="77777777" w:rsidR="00FE200F" w:rsidRDefault="00E77CAF">
      <w:pPr>
        <w:jc w:val="both"/>
        <w:rPr>
          <w:rFonts w:ascii="Times New Roman" w:hAnsi="Times New Roman" w:cs="Times New Roman"/>
        </w:rPr>
      </w:pPr>
      <w:r>
        <w:rPr>
          <w:rFonts w:ascii="Times New Roman" w:hAnsi="Times New Roman" w:cs="Times New Roman"/>
        </w:rPr>
        <w:t>Покрај петте Приоритетн</w:t>
      </w:r>
      <w:r>
        <w:rPr>
          <w:rFonts w:ascii="Times New Roman" w:hAnsi="Times New Roman" w:cs="Times New Roman"/>
          <w:lang w:val="mk-MK"/>
        </w:rPr>
        <w:t>и</w:t>
      </w:r>
      <w:r>
        <w:rPr>
          <w:rFonts w:ascii="Times New Roman" w:hAnsi="Times New Roman" w:cs="Times New Roman"/>
        </w:rPr>
        <w:t xml:space="preserve"> област</w:t>
      </w:r>
      <w:r>
        <w:rPr>
          <w:rFonts w:ascii="Times New Roman" w:hAnsi="Times New Roman" w:cs="Times New Roman"/>
          <w:lang w:val="mk-MK"/>
        </w:rPr>
        <w:t>и</w:t>
      </w:r>
      <w:r>
        <w:rPr>
          <w:rFonts w:ascii="Times New Roman" w:hAnsi="Times New Roman" w:cs="Times New Roman"/>
        </w:rPr>
        <w:t xml:space="preserve">, Стратегијата дефинира пет </w:t>
      </w:r>
      <w:r>
        <w:rPr>
          <w:rFonts w:ascii="Times New Roman" w:hAnsi="Times New Roman" w:cs="Times New Roman"/>
        </w:rPr>
        <w:t>хоризонтални теми кои се применуваат низ сите Приоритетн</w:t>
      </w:r>
      <w:r>
        <w:rPr>
          <w:rFonts w:ascii="Times New Roman" w:hAnsi="Times New Roman" w:cs="Times New Roman"/>
          <w:lang w:val="mk-MK"/>
        </w:rPr>
        <w:t>и</w:t>
      </w:r>
      <w:r>
        <w:rPr>
          <w:rFonts w:ascii="Times New Roman" w:hAnsi="Times New Roman" w:cs="Times New Roman"/>
        </w:rPr>
        <w:t xml:space="preserve"> области. Овие теми претставуваат вредносни принципи и стандарди кои мора да бидат вградени во секоја активност.</w:t>
      </w:r>
    </w:p>
    <w:p w14:paraId="7B7C29FD" w14:textId="77777777" w:rsidR="00FE200F" w:rsidRDefault="00E77CAF">
      <w:pPr>
        <w:pStyle w:val="Heading3"/>
        <w:rPr>
          <w:rFonts w:ascii="Times New Roman" w:hAnsi="Times New Roman" w:cs="Times New Roman"/>
          <w:color w:val="auto"/>
          <w:sz w:val="22"/>
        </w:rPr>
      </w:pPr>
      <w:bookmarkStart w:id="123" w:name="_Toc240630087"/>
      <w:bookmarkStart w:id="124" w:name="_Toc243908030"/>
      <w:r>
        <w:rPr>
          <w:rFonts w:ascii="Times New Roman" w:hAnsi="Times New Roman" w:cs="Times New Roman"/>
          <w:color w:val="auto"/>
          <w:sz w:val="22"/>
        </w:rPr>
        <w:lastRenderedPageBreak/>
        <w:t>Доверлива и човек-центрирана ВИ</w:t>
      </w:r>
      <w:bookmarkEnd w:id="123"/>
      <w:bookmarkEnd w:id="124"/>
    </w:p>
    <w:p w14:paraId="6563B722" w14:textId="77777777" w:rsidR="00FE200F" w:rsidRDefault="00E77CAF">
      <w:pPr>
        <w:jc w:val="both"/>
        <w:rPr>
          <w:rFonts w:ascii="Times New Roman" w:hAnsi="Times New Roman" w:cs="Times New Roman"/>
          <w:lang w:val="mk-MK"/>
        </w:rPr>
      </w:pPr>
      <w:r>
        <w:rPr>
          <w:rFonts w:ascii="Times New Roman" w:hAnsi="Times New Roman" w:cs="Times New Roman"/>
        </w:rPr>
        <w:t>ВИ во јавниот сектор се развива, набавува, тестира и п</w:t>
      </w:r>
      <w:r>
        <w:rPr>
          <w:rFonts w:ascii="Times New Roman" w:hAnsi="Times New Roman" w:cs="Times New Roman"/>
        </w:rPr>
        <w:t>рименува за унапредување на човековото достоинство и остварувањето на човековите права, во согласност со начелата на законитост, нужност, пропорционалност, еднаквост, недискриминација, пристапност, безбедност, транспарентност и отчетност. Ризикот и гаранци</w:t>
      </w:r>
      <w:r>
        <w:rPr>
          <w:rFonts w:ascii="Times New Roman" w:hAnsi="Times New Roman" w:cs="Times New Roman"/>
        </w:rPr>
        <w:t>ите се определуваат според намената, категориите и чувствителноста на податоците, засегнатите лица и можните последици; иста постапка не се применува автоматски за секој нискоризичен пилот. Граѓаните се информираат кога одлука што се однесува на нив е доне</w:t>
      </w:r>
      <w:r>
        <w:rPr>
          <w:rFonts w:ascii="Times New Roman" w:hAnsi="Times New Roman" w:cs="Times New Roman"/>
        </w:rPr>
        <w:t>сена целосно или делумно со помош на ВИ систем. Тие имаат право на разбирливо објаснување на улогата на системот, човечка интервенција, оспорување на одлуката и ефективен правен лек согласно важечките прописи.</w:t>
      </w:r>
    </w:p>
    <w:p w14:paraId="3D7586AB" w14:textId="77777777" w:rsidR="00FE200F" w:rsidRDefault="00E77CAF">
      <w:pPr>
        <w:pStyle w:val="Heading3"/>
        <w:rPr>
          <w:rFonts w:ascii="Times New Roman" w:hAnsi="Times New Roman" w:cs="Times New Roman"/>
          <w:color w:val="auto"/>
          <w:sz w:val="22"/>
        </w:rPr>
      </w:pPr>
      <w:bookmarkStart w:id="125" w:name="_Toc240630088"/>
      <w:bookmarkStart w:id="126" w:name="_Toc243908031"/>
      <w:r>
        <w:rPr>
          <w:rFonts w:ascii="Times New Roman" w:hAnsi="Times New Roman" w:cs="Times New Roman"/>
          <w:color w:val="auto"/>
          <w:sz w:val="22"/>
        </w:rPr>
        <w:t>Еднаквост и недискриминација</w:t>
      </w:r>
      <w:bookmarkEnd w:id="125"/>
      <w:bookmarkEnd w:id="126"/>
    </w:p>
    <w:p w14:paraId="60BC1680" w14:textId="77777777" w:rsidR="00FE200F" w:rsidRDefault="00E77CAF">
      <w:pPr>
        <w:jc w:val="both"/>
        <w:rPr>
          <w:rFonts w:ascii="Times New Roman" w:hAnsi="Times New Roman" w:cs="Times New Roman"/>
        </w:rPr>
      </w:pPr>
      <w:r>
        <w:rPr>
          <w:rFonts w:ascii="Times New Roman" w:hAnsi="Times New Roman" w:cs="Times New Roman"/>
        </w:rPr>
        <w:t>ВИ системите се т</w:t>
      </w:r>
      <w:r>
        <w:rPr>
          <w:rFonts w:ascii="Times New Roman" w:hAnsi="Times New Roman" w:cs="Times New Roman"/>
        </w:rPr>
        <w:t xml:space="preserve">естираат за алгоритамска пристрасност и непропорционално влијание. Посебно внимание се посветува на родовата рамноправност, мултиетничкиот контекст, пристапноста за лица со попреченост и правата на децата. За систем со висок ризик или со значајно влијание </w:t>
      </w:r>
      <w:r>
        <w:rPr>
          <w:rFonts w:ascii="Times New Roman" w:hAnsi="Times New Roman" w:cs="Times New Roman"/>
        </w:rPr>
        <w:t>врз права, пристапот до јавна услуга или правната положба на лице, пред пуштање во продукција и при суштинска промена се спроведува подетална и пропорционална проценка на ризици и влијанија, вклучително намена и правен основ, засегнати лица и групи, квалит</w:t>
      </w:r>
      <w:r>
        <w:rPr>
          <w:rFonts w:ascii="Times New Roman" w:hAnsi="Times New Roman" w:cs="Times New Roman"/>
        </w:rPr>
        <w:t>ет и репрезентативност на податоците, човечки надзор, мерки за ублажување и преостанат ризик. Кога се обработуваат лични податоци, оваа проценка се усогласува со проценката на влијанието врз заштитата на личните податоци, без непотребно дуплирање.</w:t>
      </w:r>
    </w:p>
    <w:p w14:paraId="2AB8182C" w14:textId="77777777" w:rsidR="00FE200F" w:rsidRDefault="00E77CAF">
      <w:pPr>
        <w:pStyle w:val="Heading3"/>
        <w:rPr>
          <w:rFonts w:ascii="Times New Roman" w:hAnsi="Times New Roman" w:cs="Times New Roman"/>
          <w:color w:val="auto"/>
          <w:sz w:val="22"/>
        </w:rPr>
      </w:pPr>
      <w:bookmarkStart w:id="127" w:name="_Toc240630089"/>
      <w:bookmarkStart w:id="128" w:name="_Toc243908032"/>
      <w:r>
        <w:rPr>
          <w:rFonts w:ascii="Times New Roman" w:hAnsi="Times New Roman" w:cs="Times New Roman"/>
          <w:color w:val="auto"/>
          <w:sz w:val="22"/>
        </w:rPr>
        <w:t>Сајбер-б</w:t>
      </w:r>
      <w:r>
        <w:rPr>
          <w:rFonts w:ascii="Times New Roman" w:hAnsi="Times New Roman" w:cs="Times New Roman"/>
          <w:color w:val="auto"/>
          <w:sz w:val="22"/>
        </w:rPr>
        <w:t>езбедност и отпорност</w:t>
      </w:r>
      <w:bookmarkEnd w:id="127"/>
      <w:bookmarkEnd w:id="128"/>
    </w:p>
    <w:p w14:paraId="73842A7F" w14:textId="77777777" w:rsidR="00FE200F" w:rsidRDefault="00E77CAF">
      <w:pPr>
        <w:jc w:val="both"/>
        <w:rPr>
          <w:rFonts w:ascii="Times New Roman" w:hAnsi="Times New Roman" w:cs="Times New Roman"/>
        </w:rPr>
      </w:pPr>
      <w:r>
        <w:rPr>
          <w:rFonts w:ascii="Times New Roman" w:hAnsi="Times New Roman" w:cs="Times New Roman"/>
        </w:rPr>
        <w:t xml:space="preserve">ВИ системите во јавниот сектор мора да бидат усогласени со Стратегијата за сајбер безбедност и </w:t>
      </w:r>
      <w:r>
        <w:rPr>
          <w:rFonts w:ascii="Times New Roman" w:hAnsi="Times New Roman" w:cs="Times New Roman"/>
          <w:i/>
          <w:iCs/>
        </w:rPr>
        <w:t>NIS2</w:t>
      </w:r>
      <w:r>
        <w:rPr>
          <w:rFonts w:ascii="Times New Roman" w:hAnsi="Times New Roman" w:cs="Times New Roman"/>
        </w:rPr>
        <w:t xml:space="preserve"> директивата. Редовни безбедносни ревизии се задолжителни.</w:t>
      </w:r>
    </w:p>
    <w:p w14:paraId="305F3429" w14:textId="77777777" w:rsidR="00FE200F" w:rsidRDefault="00E77CAF">
      <w:pPr>
        <w:pStyle w:val="Heading3"/>
        <w:rPr>
          <w:rFonts w:ascii="Times New Roman" w:hAnsi="Times New Roman" w:cs="Times New Roman"/>
          <w:color w:val="auto"/>
          <w:sz w:val="22"/>
        </w:rPr>
      </w:pPr>
      <w:bookmarkStart w:id="129" w:name="_Toc240630090"/>
      <w:bookmarkStart w:id="130" w:name="_Toc243908033"/>
      <w:r>
        <w:rPr>
          <w:rFonts w:ascii="Times New Roman" w:hAnsi="Times New Roman" w:cs="Times New Roman"/>
          <w:color w:val="auto"/>
          <w:sz w:val="22"/>
        </w:rPr>
        <w:t>Отворени податоци и интероперабилност</w:t>
      </w:r>
      <w:bookmarkEnd w:id="129"/>
      <w:bookmarkEnd w:id="130"/>
    </w:p>
    <w:p w14:paraId="4F60E3A2" w14:textId="77777777" w:rsidR="00FE200F" w:rsidRDefault="00E77CAF">
      <w:pPr>
        <w:jc w:val="both"/>
        <w:rPr>
          <w:rFonts w:ascii="Times New Roman" w:hAnsi="Times New Roman" w:cs="Times New Roman"/>
        </w:rPr>
      </w:pPr>
      <w:r w:rsidRPr="009C2D42">
        <w:rPr>
          <w:rFonts w:ascii="Times New Roman" w:hAnsi="Times New Roman" w:cs="Times New Roman"/>
        </w:rPr>
        <w:t xml:space="preserve">Државните податоци претставуваат </w:t>
      </w:r>
      <w:r w:rsidRPr="009C2D42">
        <w:rPr>
          <w:rFonts w:ascii="Times New Roman" w:hAnsi="Times New Roman" w:cs="Times New Roman"/>
        </w:rPr>
        <w:t>значаен јавен ресурс, чие користење, споделување и повторна употреба за ВИ се врши во согласност со важечката правна рамка, статистичката доверливост, заштитата на личните податоци и другите применливи ограничувања. Пред објавување или употреба на податоче</w:t>
      </w:r>
      <w:r w:rsidRPr="009C2D42">
        <w:rPr>
          <w:rFonts w:ascii="Times New Roman" w:hAnsi="Times New Roman" w:cs="Times New Roman"/>
        </w:rPr>
        <w:t>н сет за ВИ се утврдуваат неговиот држател, намена, правен основ, лиценца или други услови за користење, потекло, квалитет, репрезентативност, можни извори на пристрасност и ризик од повторна идентификација. Личните, заштитените и секторски ограничените по</w:t>
      </w:r>
      <w:r w:rsidRPr="009C2D42">
        <w:rPr>
          <w:rFonts w:ascii="Times New Roman" w:hAnsi="Times New Roman" w:cs="Times New Roman"/>
        </w:rPr>
        <w:t xml:space="preserve">датоци не се сметаат автоматски за отворени ниту за соодветни за тренирање или употреба на ВИ; кога е применливо, се применуваат минимизација, анонимизација или псевдонимизација и контролиран пристап. Целта за 900+ отворени податочни сетови до 2030 година </w:t>
      </w:r>
      <w:r w:rsidRPr="009C2D42">
        <w:rPr>
          <w:rFonts w:ascii="Times New Roman" w:hAnsi="Times New Roman" w:cs="Times New Roman"/>
        </w:rPr>
        <w:t>се следи заедно со показатели за нивната ажурност, метаподатоци, машинска читливост и документирана употребливост. Јавните ВИ системи применуваат отворени и интероперабилни стандарди или спецификации кога тоа е технички оправдано, правно дозволено и соодве</w:t>
      </w:r>
      <w:r w:rsidRPr="009C2D42">
        <w:rPr>
          <w:rFonts w:ascii="Times New Roman" w:hAnsi="Times New Roman" w:cs="Times New Roman"/>
        </w:rPr>
        <w:t>тно на ризикот; секое отстапување се образложува во соодветната техничка спецификација или профил за интероперабилност.</w:t>
      </w:r>
    </w:p>
    <w:p w14:paraId="5309966A" w14:textId="77777777" w:rsidR="00FE200F" w:rsidRDefault="00E77CAF">
      <w:pPr>
        <w:pStyle w:val="Heading3"/>
        <w:rPr>
          <w:rFonts w:ascii="Times New Roman" w:hAnsi="Times New Roman" w:cs="Times New Roman"/>
          <w:color w:val="auto"/>
          <w:sz w:val="22"/>
        </w:rPr>
      </w:pPr>
      <w:bookmarkStart w:id="131" w:name="_Toc240630091"/>
      <w:bookmarkStart w:id="132" w:name="_Toc243908034"/>
      <w:r>
        <w:rPr>
          <w:rFonts w:ascii="Times New Roman" w:hAnsi="Times New Roman" w:cs="Times New Roman"/>
          <w:color w:val="auto"/>
          <w:sz w:val="22"/>
        </w:rPr>
        <w:lastRenderedPageBreak/>
        <w:t>Зелени ИКТ и одржливост</w:t>
      </w:r>
      <w:bookmarkEnd w:id="131"/>
      <w:bookmarkEnd w:id="132"/>
    </w:p>
    <w:p w14:paraId="31DC552C" w14:textId="77777777" w:rsidR="00FE200F" w:rsidRDefault="00E77CAF">
      <w:pPr>
        <w:jc w:val="both"/>
        <w:rPr>
          <w:rFonts w:ascii="Times New Roman" w:hAnsi="Times New Roman" w:cs="Times New Roman"/>
          <w:lang w:val="mk-MK"/>
        </w:rPr>
      </w:pPr>
      <w:r>
        <w:rPr>
          <w:rFonts w:ascii="Times New Roman" w:hAnsi="Times New Roman" w:cs="Times New Roman"/>
        </w:rPr>
        <w:t>ВИ системите со висока потрошувачка на енергија мора да имаат план за компензација на јаглеродниот отпечаток. Пр</w:t>
      </w:r>
      <w:r>
        <w:rPr>
          <w:rFonts w:ascii="Times New Roman" w:hAnsi="Times New Roman" w:cs="Times New Roman"/>
        </w:rPr>
        <w:t>едност за решенија базирани на обновливи извори на енергија.</w:t>
      </w:r>
    </w:p>
    <w:p w14:paraId="6CBC4BB4" w14:textId="77777777" w:rsidR="00FE200F" w:rsidRPr="009C2D42" w:rsidRDefault="00E77CAF">
      <w:pPr>
        <w:jc w:val="both"/>
        <w:rPr>
          <w:rFonts w:ascii="Times New Roman" w:hAnsi="Times New Roman" w:cs="Times New Roman"/>
          <w:b/>
          <w:bCs/>
          <w:lang w:val="mk-MK"/>
        </w:rPr>
      </w:pPr>
      <w:r w:rsidRPr="009C2D42">
        <w:rPr>
          <w:rFonts w:ascii="Times New Roman" w:hAnsi="Times New Roman" w:cs="Times New Roman"/>
          <w:b/>
          <w:bCs/>
        </w:rPr>
        <w:t>Заштита на приватноста и личните податоци</w:t>
      </w:r>
    </w:p>
    <w:p w14:paraId="0EB1269D" w14:textId="77777777" w:rsidR="00FE200F" w:rsidRDefault="00E77CAF">
      <w:pPr>
        <w:jc w:val="both"/>
        <w:rPr>
          <w:rFonts w:ascii="Times New Roman" w:hAnsi="Times New Roman" w:cs="Times New Roman"/>
          <w:color w:val="000000" w:themeColor="text1"/>
          <w:lang w:val="mk-MK"/>
        </w:rPr>
      </w:pPr>
      <w:r w:rsidRPr="009C2D42">
        <w:rPr>
          <w:rFonts w:ascii="Times New Roman" w:hAnsi="Times New Roman" w:cs="Times New Roman"/>
        </w:rPr>
        <w:t>Сите ВИ системи што обработуваат лични податоци се усогласени со Законот за заштита на личните податоци, вклучително и со начелата на законитост, минимиз</w:t>
      </w:r>
      <w:r w:rsidRPr="009C2D42">
        <w:rPr>
          <w:rFonts w:ascii="Times New Roman" w:hAnsi="Times New Roman" w:cs="Times New Roman"/>
        </w:rPr>
        <w:t>ација и ограничување на целта, вградена заштита на податоците и проценка на влијанието врз заштитата на личните податоци кога е потребна. Агенцијата за заштита на личните податоци има улога во надзорот во рамките на законски утврдените надлежности. При диз</w:t>
      </w:r>
      <w:r w:rsidRPr="009C2D42">
        <w:rPr>
          <w:rFonts w:ascii="Times New Roman" w:hAnsi="Times New Roman" w:cs="Times New Roman"/>
        </w:rPr>
        <w:t>ајнирањето и примената на ВИ системи се земаат предвид и правата на децата во дигиталната средина, во согласност со применливите национални и меѓународни стандарди.</w:t>
      </w:r>
    </w:p>
    <w:p w14:paraId="3D231001" w14:textId="77777777" w:rsidR="00FE200F" w:rsidRDefault="00FE200F">
      <w:pPr>
        <w:pStyle w:val="Heading2"/>
        <w:rPr>
          <w:rFonts w:ascii="Times New Roman" w:hAnsi="Times New Roman" w:cs="Times New Roman"/>
          <w:color w:val="auto"/>
          <w:sz w:val="22"/>
          <w:szCs w:val="22"/>
          <w:lang w:val="en-GB"/>
        </w:rPr>
      </w:pPr>
    </w:p>
    <w:p w14:paraId="0529CE55" w14:textId="77777777" w:rsidR="00FE200F" w:rsidRDefault="00FE200F">
      <w:pPr>
        <w:rPr>
          <w:rFonts w:ascii="Times New Roman" w:hAnsi="Times New Roman" w:cs="Times New Roman"/>
          <w:lang w:val="en-GB"/>
        </w:rPr>
      </w:pPr>
    </w:p>
    <w:p w14:paraId="2FDD4FCC" w14:textId="77777777" w:rsidR="00FE200F" w:rsidRDefault="00E77CAF">
      <w:pPr>
        <w:pStyle w:val="Heading2"/>
        <w:rPr>
          <w:rFonts w:ascii="Times New Roman" w:hAnsi="Times New Roman" w:cs="Times New Roman"/>
          <w:color w:val="auto"/>
          <w:sz w:val="22"/>
          <w:szCs w:val="22"/>
        </w:rPr>
      </w:pPr>
      <w:bookmarkStart w:id="133" w:name="_Toc240630092"/>
      <w:bookmarkStart w:id="134" w:name="_Toc243908035"/>
      <w:r>
        <w:rPr>
          <w:rFonts w:ascii="Times New Roman" w:hAnsi="Times New Roman" w:cs="Times New Roman"/>
          <w:color w:val="auto"/>
          <w:sz w:val="22"/>
          <w:szCs w:val="22"/>
          <w:lang w:val="mk-MK"/>
        </w:rPr>
        <w:t>8</w:t>
      </w:r>
      <w:r>
        <w:rPr>
          <w:rFonts w:ascii="Times New Roman" w:hAnsi="Times New Roman" w:cs="Times New Roman"/>
          <w:color w:val="auto"/>
          <w:sz w:val="22"/>
          <w:szCs w:val="22"/>
        </w:rPr>
        <w:t>.5 Приоритетн</w:t>
      </w:r>
      <w:r>
        <w:rPr>
          <w:rFonts w:ascii="Times New Roman" w:hAnsi="Times New Roman" w:cs="Times New Roman"/>
          <w:color w:val="auto"/>
          <w:sz w:val="22"/>
          <w:szCs w:val="22"/>
          <w:lang w:val="mk-MK"/>
        </w:rPr>
        <w:t>и</w:t>
      </w:r>
      <w:r>
        <w:rPr>
          <w:rFonts w:ascii="Times New Roman" w:hAnsi="Times New Roman" w:cs="Times New Roman"/>
          <w:color w:val="auto"/>
          <w:sz w:val="22"/>
          <w:szCs w:val="22"/>
        </w:rPr>
        <w:t xml:space="preserve"> област</w:t>
      </w:r>
      <w:r>
        <w:rPr>
          <w:rFonts w:ascii="Times New Roman" w:hAnsi="Times New Roman" w:cs="Times New Roman"/>
          <w:color w:val="auto"/>
          <w:sz w:val="22"/>
          <w:szCs w:val="22"/>
          <w:lang w:val="mk-MK"/>
        </w:rPr>
        <w:t>и</w:t>
      </w:r>
      <w:r>
        <w:rPr>
          <w:rFonts w:ascii="Times New Roman" w:hAnsi="Times New Roman" w:cs="Times New Roman"/>
          <w:color w:val="auto"/>
          <w:sz w:val="22"/>
          <w:szCs w:val="22"/>
        </w:rPr>
        <w:t xml:space="preserve"> — Преглед</w:t>
      </w:r>
      <w:bookmarkEnd w:id="133"/>
      <w:bookmarkEnd w:id="134"/>
    </w:p>
    <w:p w14:paraId="584B126F" w14:textId="77777777" w:rsidR="00FE200F" w:rsidRDefault="00E77CAF">
      <w:pPr>
        <w:jc w:val="both"/>
        <w:rPr>
          <w:rFonts w:ascii="Times New Roman" w:hAnsi="Times New Roman" w:cs="Times New Roman"/>
        </w:rPr>
      </w:pPr>
      <w:r>
        <w:rPr>
          <w:rFonts w:ascii="Times New Roman" w:hAnsi="Times New Roman" w:cs="Times New Roman"/>
          <w:i/>
        </w:rPr>
        <w:t>Табела</w:t>
      </w:r>
      <w:r>
        <w:rPr>
          <w:rFonts w:ascii="Times New Roman" w:hAnsi="Times New Roman" w:cs="Times New Roman"/>
          <w:i/>
          <w:lang w:val="mk-MK"/>
        </w:rPr>
        <w:t xml:space="preserve"> 5</w:t>
      </w:r>
      <w:r>
        <w:rPr>
          <w:rFonts w:ascii="Times New Roman" w:hAnsi="Times New Roman" w:cs="Times New Roman"/>
          <w:i/>
        </w:rPr>
        <w:t>: Приоритетн</w:t>
      </w:r>
      <w:r>
        <w:rPr>
          <w:rFonts w:ascii="Times New Roman" w:hAnsi="Times New Roman" w:cs="Times New Roman"/>
          <w:i/>
          <w:lang w:val="mk-MK"/>
        </w:rPr>
        <w:t>и</w:t>
      </w:r>
      <w:r>
        <w:rPr>
          <w:rFonts w:ascii="Times New Roman" w:hAnsi="Times New Roman" w:cs="Times New Roman"/>
          <w:i/>
        </w:rPr>
        <w:t xml:space="preserve"> област</w:t>
      </w:r>
      <w:r>
        <w:rPr>
          <w:rFonts w:ascii="Times New Roman" w:hAnsi="Times New Roman" w:cs="Times New Roman"/>
          <w:i/>
          <w:lang w:val="mk-MK"/>
        </w:rPr>
        <w:t>и</w:t>
      </w:r>
      <w:r>
        <w:rPr>
          <w:rFonts w:ascii="Times New Roman" w:hAnsi="Times New Roman" w:cs="Times New Roman"/>
          <w:i/>
        </w:rPr>
        <w:t xml:space="preserve"> и нивната поврзаност со </w:t>
      </w:r>
      <w:r>
        <w:rPr>
          <w:rFonts w:ascii="Times New Roman" w:hAnsi="Times New Roman" w:cs="Times New Roman"/>
          <w:i/>
          <w:lang w:val="mk-MK"/>
        </w:rPr>
        <w:t>стратешките</w:t>
      </w:r>
      <w:r>
        <w:rPr>
          <w:rFonts w:ascii="Times New Roman" w:hAnsi="Times New Roman" w:cs="Times New Roman"/>
          <w:i/>
        </w:rPr>
        <w:t xml:space="preserve"> цели</w:t>
      </w:r>
    </w:p>
    <w:tbl>
      <w:tblPr>
        <w:tblStyle w:val="TableGrid"/>
        <w:tblW w:w="8630" w:type="dxa"/>
        <w:tblLayout w:type="fixed"/>
        <w:tblLook w:val="04A0" w:firstRow="1" w:lastRow="0" w:firstColumn="1" w:lastColumn="0" w:noHBand="0" w:noVBand="1"/>
      </w:tblPr>
      <w:tblGrid>
        <w:gridCol w:w="2575"/>
        <w:gridCol w:w="3633"/>
        <w:gridCol w:w="2422"/>
      </w:tblGrid>
      <w:tr w:rsidR="00FE200F" w14:paraId="3C0FD976" w14:textId="77777777">
        <w:tc>
          <w:tcPr>
            <w:tcW w:w="2575" w:type="dxa"/>
            <w:shd w:val="clear" w:color="auto" w:fill="D9D9D9"/>
          </w:tcPr>
          <w:p w14:paraId="530F178C" w14:textId="77777777" w:rsidR="00FE200F" w:rsidRDefault="00E77CAF">
            <w:pPr>
              <w:rPr>
                <w:rFonts w:ascii="Times New Roman" w:hAnsi="Times New Roman" w:cs="Times New Roman"/>
              </w:rPr>
            </w:pPr>
            <w:r>
              <w:rPr>
                <w:rFonts w:ascii="Times New Roman" w:hAnsi="Times New Roman" w:cs="Times New Roman"/>
                <w:b/>
              </w:rPr>
              <w:t>Приоритетна област</w:t>
            </w:r>
          </w:p>
        </w:tc>
        <w:tc>
          <w:tcPr>
            <w:tcW w:w="3633" w:type="dxa"/>
            <w:shd w:val="clear" w:color="auto" w:fill="D9D9D9"/>
          </w:tcPr>
          <w:p w14:paraId="05072CEE" w14:textId="77777777" w:rsidR="00FE200F" w:rsidRDefault="00E77CAF">
            <w:pPr>
              <w:rPr>
                <w:rFonts w:ascii="Times New Roman" w:hAnsi="Times New Roman" w:cs="Times New Roman"/>
              </w:rPr>
            </w:pPr>
            <w:r>
              <w:rPr>
                <w:rFonts w:ascii="Times New Roman" w:hAnsi="Times New Roman" w:cs="Times New Roman"/>
                <w:b/>
              </w:rPr>
              <w:t>Фокус</w:t>
            </w:r>
          </w:p>
        </w:tc>
        <w:tc>
          <w:tcPr>
            <w:tcW w:w="2422" w:type="dxa"/>
            <w:shd w:val="clear" w:color="auto" w:fill="D9D9D9"/>
            <w:tcMar>
              <w:top w:w="40" w:type="dxa"/>
              <w:left w:w="50" w:type="dxa"/>
              <w:bottom w:w="40" w:type="dxa"/>
              <w:right w:w="50" w:type="dxa"/>
            </w:tcMar>
            <w:vAlign w:val="center"/>
          </w:tcPr>
          <w:p w14:paraId="7F535C7B" w14:textId="77777777" w:rsidR="00FE200F" w:rsidRDefault="00E77CAF">
            <w:pPr>
              <w:spacing w:line="228" w:lineRule="auto"/>
              <w:jc w:val="center"/>
              <w:rPr>
                <w:rFonts w:ascii="Times New Roman" w:hAnsi="Times New Roman" w:cs="Times New Roman"/>
              </w:rPr>
            </w:pPr>
            <w:r>
              <w:rPr>
                <w:rFonts w:ascii="Times New Roman" w:eastAsia="Arial" w:hAnsi="Times New Roman" w:cs="Times New Roman"/>
                <w:b/>
              </w:rPr>
              <w:t xml:space="preserve">Поврзани </w:t>
            </w:r>
            <w:r>
              <w:rPr>
                <w:rFonts w:ascii="Times New Roman" w:eastAsia="Arial" w:hAnsi="Times New Roman" w:cs="Times New Roman"/>
                <w:b/>
                <w:lang w:val="mk-MK"/>
              </w:rPr>
              <w:t>Стратешки Цели</w:t>
            </w:r>
            <w:r>
              <w:rPr>
                <w:rFonts w:ascii="Times New Roman" w:eastAsia="Arial" w:hAnsi="Times New Roman" w:cs="Times New Roman"/>
                <w:b/>
              </w:rPr>
              <w:t xml:space="preserve"> (СЦ)</w:t>
            </w:r>
          </w:p>
        </w:tc>
      </w:tr>
      <w:tr w:rsidR="00FE200F" w14:paraId="22475B03" w14:textId="77777777">
        <w:tc>
          <w:tcPr>
            <w:tcW w:w="2575" w:type="dxa"/>
          </w:tcPr>
          <w:p w14:paraId="47166A98" w14:textId="77777777" w:rsidR="00FE200F" w:rsidRDefault="00E77CAF">
            <w:pPr>
              <w:rPr>
                <w:rFonts w:ascii="Times New Roman" w:hAnsi="Times New Roman" w:cs="Times New Roman"/>
              </w:rPr>
            </w:pPr>
            <w:r>
              <w:rPr>
                <w:rFonts w:ascii="Times New Roman" w:hAnsi="Times New Roman" w:cs="Times New Roman"/>
              </w:rPr>
              <w:t>1: Јавен сектор</w:t>
            </w:r>
          </w:p>
        </w:tc>
        <w:tc>
          <w:tcPr>
            <w:tcW w:w="3633" w:type="dxa"/>
          </w:tcPr>
          <w:p w14:paraId="4204242F" w14:textId="77777777" w:rsidR="00FE200F" w:rsidRDefault="00E77CAF">
            <w:pPr>
              <w:rPr>
                <w:rFonts w:ascii="Times New Roman" w:hAnsi="Times New Roman" w:cs="Times New Roman"/>
              </w:rPr>
            </w:pPr>
            <w:r>
              <w:rPr>
                <w:rFonts w:ascii="Times New Roman" w:hAnsi="Times New Roman" w:cs="Times New Roman"/>
              </w:rPr>
              <w:t>Дигитални услуги со ВИ, ефикасност, квалитет.</w:t>
            </w:r>
          </w:p>
        </w:tc>
        <w:tc>
          <w:tcPr>
            <w:tcW w:w="2422" w:type="dxa"/>
          </w:tcPr>
          <w:p w14:paraId="33ECE62F" w14:textId="77777777" w:rsidR="00FE200F" w:rsidRDefault="00E77CAF">
            <w:pPr>
              <w:rPr>
                <w:rFonts w:ascii="Times New Roman" w:hAnsi="Times New Roman" w:cs="Times New Roman"/>
              </w:rPr>
            </w:pPr>
            <w:r>
              <w:rPr>
                <w:rFonts w:ascii="Times New Roman" w:hAnsi="Times New Roman" w:cs="Times New Roman"/>
              </w:rPr>
              <w:t>СЦ-2, СЦ-5</w:t>
            </w:r>
          </w:p>
        </w:tc>
      </w:tr>
      <w:tr w:rsidR="00FE200F" w14:paraId="5BB8E707" w14:textId="77777777">
        <w:tc>
          <w:tcPr>
            <w:tcW w:w="2575" w:type="dxa"/>
          </w:tcPr>
          <w:p w14:paraId="267B55F0" w14:textId="77777777" w:rsidR="00FE200F" w:rsidRDefault="00E77CAF">
            <w:pPr>
              <w:rPr>
                <w:rFonts w:ascii="Times New Roman" w:hAnsi="Times New Roman" w:cs="Times New Roman"/>
                <w:lang w:val="mk-MK"/>
              </w:rPr>
            </w:pPr>
            <w:r>
              <w:rPr>
                <w:rFonts w:ascii="Times New Roman" w:hAnsi="Times New Roman" w:cs="Times New Roman"/>
              </w:rPr>
              <w:t>2: Економија</w:t>
            </w:r>
            <w:r>
              <w:rPr>
                <w:rFonts w:ascii="Times New Roman" w:hAnsi="Times New Roman" w:cs="Times New Roman"/>
                <w:lang w:val="mk-MK"/>
              </w:rPr>
              <w:t xml:space="preserve"> и иновации</w:t>
            </w:r>
          </w:p>
        </w:tc>
        <w:tc>
          <w:tcPr>
            <w:tcW w:w="3633" w:type="dxa"/>
          </w:tcPr>
          <w:p w14:paraId="649C957A" w14:textId="77777777" w:rsidR="00FE200F" w:rsidRDefault="00E77CAF">
            <w:pPr>
              <w:rPr>
                <w:rFonts w:ascii="Times New Roman" w:hAnsi="Times New Roman" w:cs="Times New Roman"/>
              </w:rPr>
            </w:pPr>
            <w:r>
              <w:rPr>
                <w:rFonts w:ascii="Times New Roman" w:hAnsi="Times New Roman" w:cs="Times New Roman"/>
              </w:rPr>
              <w:t>Продуктивност, МСП, индустриски ВИ решенија, иновации.</w:t>
            </w:r>
          </w:p>
        </w:tc>
        <w:tc>
          <w:tcPr>
            <w:tcW w:w="2422" w:type="dxa"/>
          </w:tcPr>
          <w:p w14:paraId="661F597C" w14:textId="77777777" w:rsidR="00FE200F" w:rsidRDefault="00E77CAF">
            <w:pPr>
              <w:rPr>
                <w:rFonts w:ascii="Times New Roman" w:hAnsi="Times New Roman" w:cs="Times New Roman"/>
              </w:rPr>
            </w:pPr>
            <w:r>
              <w:rPr>
                <w:rFonts w:ascii="Times New Roman" w:hAnsi="Times New Roman" w:cs="Times New Roman"/>
              </w:rPr>
              <w:t>СЦ-4</w:t>
            </w:r>
          </w:p>
        </w:tc>
      </w:tr>
      <w:tr w:rsidR="00FE200F" w14:paraId="33872015" w14:textId="77777777">
        <w:tc>
          <w:tcPr>
            <w:tcW w:w="2575" w:type="dxa"/>
          </w:tcPr>
          <w:p w14:paraId="5F83D07B" w14:textId="77777777" w:rsidR="00FE200F" w:rsidRDefault="00E77CAF">
            <w:pPr>
              <w:rPr>
                <w:rFonts w:ascii="Times New Roman" w:hAnsi="Times New Roman" w:cs="Times New Roman"/>
                <w:lang w:val="mk-MK"/>
              </w:rPr>
            </w:pPr>
            <w:r>
              <w:rPr>
                <w:rFonts w:ascii="Times New Roman" w:hAnsi="Times New Roman" w:cs="Times New Roman"/>
              </w:rPr>
              <w:t>3: Образование наука</w:t>
            </w:r>
            <w:r>
              <w:rPr>
                <w:rFonts w:ascii="Times New Roman" w:hAnsi="Times New Roman" w:cs="Times New Roman"/>
                <w:lang w:val="mk-MK"/>
              </w:rPr>
              <w:t xml:space="preserve"> и истражување</w:t>
            </w:r>
          </w:p>
        </w:tc>
        <w:tc>
          <w:tcPr>
            <w:tcW w:w="3633" w:type="dxa"/>
          </w:tcPr>
          <w:p w14:paraId="5EE1EFD3" w14:textId="77777777" w:rsidR="00FE200F" w:rsidRDefault="00E77CAF">
            <w:pPr>
              <w:rPr>
                <w:rFonts w:ascii="Times New Roman" w:hAnsi="Times New Roman" w:cs="Times New Roman"/>
              </w:rPr>
            </w:pPr>
            <w:r>
              <w:rPr>
                <w:rFonts w:ascii="Times New Roman" w:hAnsi="Times New Roman" w:cs="Times New Roman"/>
              </w:rPr>
              <w:t>Компетенции, истражување, јазични технологии.</w:t>
            </w:r>
          </w:p>
        </w:tc>
        <w:tc>
          <w:tcPr>
            <w:tcW w:w="2422" w:type="dxa"/>
          </w:tcPr>
          <w:p w14:paraId="1CBA5622" w14:textId="77777777" w:rsidR="00FE200F" w:rsidRDefault="00E77CAF">
            <w:pPr>
              <w:rPr>
                <w:rFonts w:ascii="Times New Roman" w:hAnsi="Times New Roman" w:cs="Times New Roman"/>
              </w:rPr>
            </w:pPr>
            <w:r>
              <w:rPr>
                <w:rFonts w:ascii="Times New Roman" w:hAnsi="Times New Roman" w:cs="Times New Roman"/>
              </w:rPr>
              <w:t>СЦ-3</w:t>
            </w:r>
          </w:p>
        </w:tc>
      </w:tr>
      <w:tr w:rsidR="00FE200F" w14:paraId="3BA17D5E" w14:textId="77777777">
        <w:tc>
          <w:tcPr>
            <w:tcW w:w="2575" w:type="dxa"/>
          </w:tcPr>
          <w:p w14:paraId="61E69547" w14:textId="77777777" w:rsidR="00FE200F" w:rsidRDefault="00E77CAF">
            <w:pPr>
              <w:rPr>
                <w:rFonts w:ascii="Times New Roman" w:hAnsi="Times New Roman" w:cs="Times New Roman"/>
              </w:rPr>
            </w:pPr>
            <w:r>
              <w:rPr>
                <w:rFonts w:ascii="Times New Roman" w:hAnsi="Times New Roman" w:cs="Times New Roman"/>
              </w:rPr>
              <w:t>4: Податоци и инфраструктура</w:t>
            </w:r>
          </w:p>
        </w:tc>
        <w:tc>
          <w:tcPr>
            <w:tcW w:w="3633" w:type="dxa"/>
          </w:tcPr>
          <w:p w14:paraId="65F9A1DA" w14:textId="77777777" w:rsidR="00FE200F" w:rsidRDefault="00E77CAF">
            <w:pPr>
              <w:rPr>
                <w:rFonts w:ascii="Times New Roman" w:hAnsi="Times New Roman" w:cs="Times New Roman"/>
              </w:rPr>
            </w:pPr>
            <w:r>
              <w:rPr>
                <w:rFonts w:ascii="Times New Roman" w:hAnsi="Times New Roman" w:cs="Times New Roman"/>
              </w:rPr>
              <w:t>Отворени податоци, квалитет, стандарди, облак/</w:t>
            </w:r>
            <w:r>
              <w:rPr>
                <w:rFonts w:ascii="Times New Roman" w:hAnsi="Times New Roman" w:cs="Times New Roman"/>
                <w:i/>
                <w:iCs/>
              </w:rPr>
              <w:t>HPC</w:t>
            </w:r>
            <w:r>
              <w:rPr>
                <w:rFonts w:ascii="Times New Roman" w:hAnsi="Times New Roman" w:cs="Times New Roman"/>
              </w:rPr>
              <w:t>.</w:t>
            </w:r>
          </w:p>
        </w:tc>
        <w:tc>
          <w:tcPr>
            <w:tcW w:w="2422" w:type="dxa"/>
          </w:tcPr>
          <w:p w14:paraId="34C318F7" w14:textId="77777777" w:rsidR="00FE200F" w:rsidRDefault="00E77CAF">
            <w:pPr>
              <w:rPr>
                <w:rFonts w:ascii="Times New Roman" w:hAnsi="Times New Roman" w:cs="Times New Roman"/>
              </w:rPr>
            </w:pPr>
            <w:r>
              <w:rPr>
                <w:rFonts w:ascii="Times New Roman" w:hAnsi="Times New Roman" w:cs="Times New Roman"/>
              </w:rPr>
              <w:t>СЦ-4, СЦ-6</w:t>
            </w:r>
          </w:p>
        </w:tc>
      </w:tr>
      <w:tr w:rsidR="00FE200F" w14:paraId="20BD6CB6" w14:textId="77777777">
        <w:tc>
          <w:tcPr>
            <w:tcW w:w="2575" w:type="dxa"/>
          </w:tcPr>
          <w:p w14:paraId="3D535D7C" w14:textId="77777777" w:rsidR="00FE200F" w:rsidRDefault="00E77CAF">
            <w:pPr>
              <w:rPr>
                <w:rFonts w:ascii="Times New Roman" w:hAnsi="Times New Roman" w:cs="Times New Roman"/>
              </w:rPr>
            </w:pPr>
            <w:r>
              <w:rPr>
                <w:rFonts w:ascii="Times New Roman" w:hAnsi="Times New Roman" w:cs="Times New Roman"/>
              </w:rPr>
              <w:t>5: Правна и етичка рамка</w:t>
            </w:r>
          </w:p>
        </w:tc>
        <w:tc>
          <w:tcPr>
            <w:tcW w:w="3633" w:type="dxa"/>
          </w:tcPr>
          <w:p w14:paraId="42362BD3" w14:textId="77777777" w:rsidR="00FE200F" w:rsidRDefault="00E77CAF">
            <w:pPr>
              <w:rPr>
                <w:rFonts w:ascii="Times New Roman" w:hAnsi="Times New Roman" w:cs="Times New Roman"/>
              </w:rPr>
            </w:pPr>
            <w:r>
              <w:rPr>
                <w:rFonts w:ascii="Times New Roman" w:hAnsi="Times New Roman" w:cs="Times New Roman"/>
              </w:rPr>
              <w:t>Усогласување со ЕУ, основни права, надзор и одговорност.</w:t>
            </w:r>
          </w:p>
        </w:tc>
        <w:tc>
          <w:tcPr>
            <w:tcW w:w="2422" w:type="dxa"/>
          </w:tcPr>
          <w:p w14:paraId="333C05F6" w14:textId="77777777" w:rsidR="00FE200F" w:rsidRDefault="00E77CAF">
            <w:pPr>
              <w:rPr>
                <w:rFonts w:ascii="Times New Roman" w:hAnsi="Times New Roman" w:cs="Times New Roman"/>
              </w:rPr>
            </w:pPr>
            <w:r>
              <w:rPr>
                <w:rFonts w:ascii="Times New Roman" w:hAnsi="Times New Roman" w:cs="Times New Roman"/>
              </w:rPr>
              <w:t>СЦ-1, СЦ-6</w:t>
            </w:r>
          </w:p>
        </w:tc>
      </w:tr>
    </w:tbl>
    <w:p w14:paraId="1E003A64" w14:textId="77777777" w:rsidR="00FE200F" w:rsidRDefault="00FE200F">
      <w:pPr>
        <w:jc w:val="both"/>
        <w:rPr>
          <w:rFonts w:ascii="Times New Roman" w:hAnsi="Times New Roman" w:cs="Times New Roman"/>
          <w:lang w:val="en-GB"/>
        </w:rPr>
      </w:pPr>
    </w:p>
    <w:p w14:paraId="09CCD19E" w14:textId="77777777" w:rsidR="00FE200F" w:rsidRDefault="00E77CAF">
      <w:pPr>
        <w:pStyle w:val="Heading3"/>
        <w:jc w:val="both"/>
        <w:rPr>
          <w:rFonts w:ascii="Times New Roman" w:hAnsi="Times New Roman" w:cs="Times New Roman"/>
          <w:color w:val="auto"/>
          <w:lang w:val="mk-MK"/>
        </w:rPr>
      </w:pPr>
      <w:bookmarkStart w:id="135" w:name="_Toc240630093"/>
      <w:bookmarkStart w:id="136" w:name="_Toc243908036"/>
      <w:r>
        <w:rPr>
          <w:rFonts w:ascii="Times New Roman" w:hAnsi="Times New Roman" w:cs="Times New Roman"/>
          <w:color w:val="auto"/>
          <w:lang w:val="mk-MK"/>
        </w:rPr>
        <w:t>8.</w:t>
      </w:r>
      <w:r>
        <w:rPr>
          <w:rFonts w:ascii="Times New Roman" w:hAnsi="Times New Roman" w:cs="Times New Roman"/>
          <w:color w:val="auto"/>
          <w:lang w:val="mk-MK"/>
        </w:rPr>
        <w:t>6 Приоритетни области за Стратегијата за употреба на ВИ</w:t>
      </w:r>
      <w:bookmarkEnd w:id="135"/>
      <w:bookmarkEnd w:id="136"/>
    </w:p>
    <w:p w14:paraId="11925239" w14:textId="77777777" w:rsidR="00FE200F" w:rsidRDefault="00FE200F">
      <w:pPr>
        <w:rPr>
          <w:rFonts w:ascii="Times New Roman" w:hAnsi="Times New Roman" w:cs="Times New Roman"/>
          <w:lang w:val="mk-MK"/>
        </w:rPr>
      </w:pPr>
    </w:p>
    <w:p w14:paraId="3569148C" w14:textId="77777777" w:rsidR="00FE200F" w:rsidRDefault="00E77CAF">
      <w:pPr>
        <w:pStyle w:val="ListNumber"/>
        <w:numPr>
          <w:ilvl w:val="0"/>
          <w:numId w:val="47"/>
        </w:numPr>
        <w:jc w:val="both"/>
        <w:rPr>
          <w:rFonts w:ascii="Times New Roman" w:hAnsi="Times New Roman" w:cs="Times New Roman"/>
          <w:lang w:val="mk-MK"/>
        </w:rPr>
      </w:pPr>
      <w:r>
        <w:rPr>
          <w:rFonts w:ascii="Times New Roman" w:hAnsi="Times New Roman" w:cs="Times New Roman"/>
          <w:b/>
          <w:color w:val="auto"/>
          <w:lang w:val="mk-MK"/>
        </w:rPr>
        <w:t>Јавен сектор</w:t>
      </w:r>
      <w:r>
        <w:rPr>
          <w:rFonts w:ascii="Times New Roman" w:hAnsi="Times New Roman" w:cs="Times New Roman"/>
          <w:color w:val="auto"/>
          <w:lang w:val="mk-MK"/>
        </w:rPr>
        <w:t xml:space="preserve"> – Примена на ВИ во јавната администрација и испорака на јавни услуги (е-услуги, автоматизација на процеси, поддршка при одлучување).</w:t>
      </w:r>
    </w:p>
    <w:p w14:paraId="1B460F69" w14:textId="77777777" w:rsidR="00FE200F" w:rsidRDefault="00E77CAF">
      <w:pPr>
        <w:pStyle w:val="ListNumber"/>
        <w:numPr>
          <w:ilvl w:val="0"/>
          <w:numId w:val="48"/>
        </w:numPr>
        <w:jc w:val="both"/>
        <w:rPr>
          <w:rFonts w:ascii="Times New Roman" w:hAnsi="Times New Roman" w:cs="Times New Roman"/>
          <w:lang w:val="mk-MK"/>
        </w:rPr>
      </w:pPr>
      <w:r>
        <w:rPr>
          <w:rFonts w:ascii="Times New Roman" w:hAnsi="Times New Roman" w:cs="Times New Roman"/>
          <w:b/>
          <w:color w:val="auto"/>
          <w:lang w:val="mk-MK"/>
        </w:rPr>
        <w:t>Економија и индустрија</w:t>
      </w:r>
      <w:r>
        <w:rPr>
          <w:rFonts w:ascii="Times New Roman" w:hAnsi="Times New Roman" w:cs="Times New Roman"/>
          <w:color w:val="auto"/>
          <w:lang w:val="mk-MK"/>
        </w:rPr>
        <w:t xml:space="preserve"> – ВИ за зголемување на конкурентноста на бизнисите и МСП (Индустрија 4.0, финтек, е-трговија).</w:t>
      </w:r>
    </w:p>
    <w:p w14:paraId="69C9ECBC" w14:textId="77777777" w:rsidR="00FE200F" w:rsidRDefault="00E77CAF">
      <w:pPr>
        <w:pStyle w:val="ListNumber"/>
        <w:numPr>
          <w:ilvl w:val="0"/>
          <w:numId w:val="49"/>
        </w:numPr>
        <w:jc w:val="both"/>
        <w:rPr>
          <w:rFonts w:ascii="Times New Roman" w:hAnsi="Times New Roman" w:cs="Times New Roman"/>
          <w:lang w:val="mk-MK"/>
        </w:rPr>
      </w:pPr>
      <w:r>
        <w:rPr>
          <w:rFonts w:ascii="Times New Roman" w:hAnsi="Times New Roman" w:cs="Times New Roman"/>
          <w:b/>
          <w:color w:val="auto"/>
          <w:lang w:val="mk-MK"/>
        </w:rPr>
        <w:t>Образование, наука и иновации</w:t>
      </w:r>
      <w:r>
        <w:rPr>
          <w:rFonts w:ascii="Times New Roman" w:hAnsi="Times New Roman" w:cs="Times New Roman"/>
          <w:color w:val="auto"/>
          <w:lang w:val="mk-MK"/>
        </w:rPr>
        <w:t xml:space="preserve"> – ВИ во образованието и истражувањето (персонализирано учење, развој на ВИ вештини, поддршка на </w:t>
      </w:r>
      <w:r>
        <w:rPr>
          <w:rFonts w:ascii="Times New Roman" w:hAnsi="Times New Roman" w:cs="Times New Roman"/>
          <w:i/>
          <w:iCs/>
          <w:color w:val="auto"/>
          <w:lang w:val="mk-MK"/>
        </w:rPr>
        <w:t>R&amp;D</w:t>
      </w:r>
      <w:r>
        <w:rPr>
          <w:rFonts w:ascii="Times New Roman" w:hAnsi="Times New Roman" w:cs="Times New Roman"/>
          <w:color w:val="auto"/>
          <w:lang w:val="mk-MK"/>
        </w:rPr>
        <w:t>).</w:t>
      </w:r>
    </w:p>
    <w:p w14:paraId="028BCDFB" w14:textId="77777777" w:rsidR="00FE200F" w:rsidRDefault="00E77CAF">
      <w:pPr>
        <w:pStyle w:val="ListNumber"/>
        <w:numPr>
          <w:ilvl w:val="0"/>
          <w:numId w:val="50"/>
        </w:numPr>
        <w:jc w:val="both"/>
        <w:rPr>
          <w:rFonts w:ascii="Times New Roman" w:hAnsi="Times New Roman" w:cs="Times New Roman"/>
          <w:lang w:val="mk-MK"/>
        </w:rPr>
      </w:pPr>
      <w:r>
        <w:rPr>
          <w:rFonts w:ascii="Times New Roman" w:hAnsi="Times New Roman" w:cs="Times New Roman"/>
          <w:b/>
          <w:color w:val="auto"/>
          <w:lang w:val="mk-MK"/>
        </w:rPr>
        <w:lastRenderedPageBreak/>
        <w:t>Податоци и инфраструктура</w:t>
      </w:r>
      <w:r>
        <w:rPr>
          <w:rFonts w:ascii="Times New Roman" w:hAnsi="Times New Roman" w:cs="Times New Roman"/>
          <w:color w:val="auto"/>
          <w:lang w:val="mk-MK"/>
        </w:rPr>
        <w:t xml:space="preserve"> – </w:t>
      </w:r>
      <w:r>
        <w:rPr>
          <w:rFonts w:ascii="Times New Roman" w:hAnsi="Times New Roman" w:cs="Times New Roman"/>
          <w:color w:val="auto"/>
          <w:lang w:val="mk-MK"/>
        </w:rPr>
        <w:t xml:space="preserve">Дигитална инфраструктура и управување со податоци (отворени податоци, </w:t>
      </w:r>
      <w:r>
        <w:rPr>
          <w:rFonts w:ascii="Times New Roman" w:hAnsi="Times New Roman" w:cs="Times New Roman"/>
          <w:i/>
          <w:iCs/>
          <w:color w:val="auto"/>
          <w:lang w:val="mk-MK"/>
        </w:rPr>
        <w:t>HPC</w:t>
      </w:r>
      <w:r>
        <w:rPr>
          <w:rFonts w:ascii="Times New Roman" w:hAnsi="Times New Roman" w:cs="Times New Roman"/>
          <w:color w:val="auto"/>
          <w:lang w:val="mk-MK"/>
        </w:rPr>
        <w:t>, облак-инфраструктура).</w:t>
      </w:r>
    </w:p>
    <w:p w14:paraId="4869B5F4" w14:textId="77777777" w:rsidR="00FE200F" w:rsidRDefault="00E77CAF">
      <w:pPr>
        <w:pStyle w:val="ListNumber"/>
        <w:numPr>
          <w:ilvl w:val="0"/>
          <w:numId w:val="51"/>
        </w:numPr>
        <w:jc w:val="both"/>
        <w:rPr>
          <w:rFonts w:ascii="Times New Roman" w:hAnsi="Times New Roman" w:cs="Times New Roman"/>
          <w:lang w:val="mk-MK"/>
        </w:rPr>
      </w:pPr>
      <w:r>
        <w:rPr>
          <w:rFonts w:ascii="Times New Roman" w:hAnsi="Times New Roman" w:cs="Times New Roman"/>
          <w:b/>
          <w:color w:val="auto"/>
          <w:lang w:val="mk-MK"/>
        </w:rPr>
        <w:t>Управување, правна и етичка рамка</w:t>
      </w:r>
      <w:r>
        <w:rPr>
          <w:rFonts w:ascii="Times New Roman" w:hAnsi="Times New Roman" w:cs="Times New Roman"/>
          <w:color w:val="auto"/>
          <w:lang w:val="mk-MK"/>
        </w:rPr>
        <w:t xml:space="preserve"> – Регулаторна рамка, етика и заштита на права (усогласување со ЕУ </w:t>
      </w:r>
      <w:r>
        <w:rPr>
          <w:rFonts w:ascii="Times New Roman" w:hAnsi="Times New Roman" w:cs="Times New Roman"/>
          <w:i/>
          <w:iCs/>
          <w:color w:val="auto"/>
          <w:lang w:val="mk-MK"/>
        </w:rPr>
        <w:t>AI Act</w:t>
      </w:r>
      <w:r>
        <w:rPr>
          <w:rFonts w:ascii="Times New Roman" w:hAnsi="Times New Roman" w:cs="Times New Roman"/>
          <w:color w:val="auto"/>
          <w:lang w:val="mk-MK"/>
        </w:rPr>
        <w:t>, национален орган за ВИ).</w:t>
      </w:r>
    </w:p>
    <w:p w14:paraId="1A762C16" w14:textId="77777777" w:rsidR="00FE200F" w:rsidRDefault="00FE200F">
      <w:pPr>
        <w:pStyle w:val="ListBullet"/>
        <w:numPr>
          <w:ilvl w:val="0"/>
          <w:numId w:val="0"/>
        </w:numPr>
        <w:jc w:val="both"/>
        <w:rPr>
          <w:rFonts w:ascii="Times New Roman" w:hAnsi="Times New Roman" w:cs="Times New Roman"/>
          <w:lang w:val="mk-MK"/>
        </w:rPr>
      </w:pPr>
    </w:p>
    <w:p w14:paraId="4285F553" w14:textId="77777777" w:rsidR="00FE200F" w:rsidRDefault="00E77CAF">
      <w:pPr>
        <w:pStyle w:val="ListBullet"/>
        <w:numPr>
          <w:ilvl w:val="0"/>
          <w:numId w:val="0"/>
        </w:numPr>
        <w:jc w:val="both"/>
        <w:rPr>
          <w:rFonts w:ascii="Times New Roman" w:hAnsi="Times New Roman" w:cs="Times New Roman"/>
          <w:lang w:val="mk-MK"/>
        </w:rPr>
      </w:pPr>
      <w:r>
        <w:rPr>
          <w:rFonts w:ascii="Times New Roman" w:hAnsi="Times New Roman" w:cs="Times New Roman"/>
          <w:lang w:val="mk-MK"/>
        </w:rPr>
        <w:t>Анализата</w:t>
      </w:r>
      <w:r>
        <w:rPr>
          <w:rFonts w:ascii="Times New Roman" w:hAnsi="Times New Roman" w:cs="Times New Roman"/>
        </w:rPr>
        <w:t xml:space="preserve"> на тековната состојба ги идентификуваше следните клучни наоди:</w:t>
      </w:r>
    </w:p>
    <w:p w14:paraId="282146DF" w14:textId="77777777" w:rsidR="00FE200F" w:rsidRDefault="00E77CAF">
      <w:pPr>
        <w:jc w:val="both"/>
        <w:rPr>
          <w:rFonts w:ascii="Times New Roman" w:hAnsi="Times New Roman" w:cs="Times New Roman"/>
        </w:rPr>
      </w:pPr>
      <w:r>
        <w:rPr>
          <w:rFonts w:ascii="Times New Roman" w:hAnsi="Times New Roman" w:cs="Times New Roman"/>
          <w:i/>
        </w:rPr>
        <w:t>Табела: Клучни наоди и нивните импликации</w:t>
      </w:r>
    </w:p>
    <w:tbl>
      <w:tblPr>
        <w:tblStyle w:val="TableGrid"/>
        <w:tblW w:w="8630" w:type="dxa"/>
        <w:tblLayout w:type="fixed"/>
        <w:tblLook w:val="04A0" w:firstRow="1" w:lastRow="0" w:firstColumn="1" w:lastColumn="0" w:noHBand="0" w:noVBand="1"/>
      </w:tblPr>
      <w:tblGrid>
        <w:gridCol w:w="3752"/>
        <w:gridCol w:w="4878"/>
      </w:tblGrid>
      <w:tr w:rsidR="00FE200F" w14:paraId="235EE769" w14:textId="77777777">
        <w:tc>
          <w:tcPr>
            <w:tcW w:w="3752" w:type="dxa"/>
            <w:shd w:val="clear" w:color="auto" w:fill="D9D9D9"/>
          </w:tcPr>
          <w:p w14:paraId="1FA8AB0F" w14:textId="77777777" w:rsidR="00FE200F" w:rsidRDefault="00E77CAF">
            <w:pPr>
              <w:rPr>
                <w:rFonts w:ascii="Times New Roman" w:hAnsi="Times New Roman" w:cs="Times New Roman"/>
                <w:lang w:val="mk-MK"/>
              </w:rPr>
            </w:pPr>
            <w:r>
              <w:rPr>
                <w:rFonts w:ascii="Times New Roman" w:hAnsi="Times New Roman" w:cs="Times New Roman"/>
                <w:b/>
                <w:lang w:val="mk-MK"/>
              </w:rPr>
              <w:t>Анализа</w:t>
            </w:r>
          </w:p>
        </w:tc>
        <w:tc>
          <w:tcPr>
            <w:tcW w:w="4877" w:type="dxa"/>
            <w:shd w:val="clear" w:color="auto" w:fill="D9D9D9"/>
          </w:tcPr>
          <w:p w14:paraId="24B73452" w14:textId="77777777" w:rsidR="00FE200F" w:rsidRDefault="00E77CAF">
            <w:pPr>
              <w:rPr>
                <w:rFonts w:ascii="Times New Roman" w:hAnsi="Times New Roman" w:cs="Times New Roman"/>
              </w:rPr>
            </w:pPr>
            <w:r>
              <w:rPr>
                <w:rFonts w:ascii="Times New Roman" w:hAnsi="Times New Roman" w:cs="Times New Roman"/>
                <w:b/>
              </w:rPr>
              <w:t>Импликација</w:t>
            </w:r>
          </w:p>
        </w:tc>
      </w:tr>
      <w:tr w:rsidR="00FE200F" w14:paraId="1082728F" w14:textId="77777777">
        <w:tc>
          <w:tcPr>
            <w:tcW w:w="3752" w:type="dxa"/>
          </w:tcPr>
          <w:p w14:paraId="0AE074C6" w14:textId="77777777" w:rsidR="00FE200F" w:rsidRDefault="00E77CAF">
            <w:pPr>
              <w:rPr>
                <w:rFonts w:ascii="Times New Roman" w:hAnsi="Times New Roman" w:cs="Times New Roman"/>
              </w:rPr>
            </w:pPr>
            <w:r>
              <w:rPr>
                <w:rFonts w:ascii="Times New Roman" w:hAnsi="Times New Roman" w:cs="Times New Roman"/>
              </w:rPr>
              <w:t>Н1: Регулаторен вакуум (</w:t>
            </w:r>
            <w:r>
              <w:rPr>
                <w:rFonts w:ascii="Times New Roman" w:hAnsi="Times New Roman" w:cs="Times New Roman"/>
                <w:i/>
                <w:iCs/>
              </w:rPr>
              <w:t xml:space="preserve">Policy Capacity </w:t>
            </w:r>
            <w:r>
              <w:rPr>
                <w:rFonts w:ascii="Times New Roman" w:hAnsi="Times New Roman" w:cs="Times New Roman"/>
              </w:rPr>
              <w:t>34.50/100)</w:t>
            </w:r>
          </w:p>
        </w:tc>
        <w:tc>
          <w:tcPr>
            <w:tcW w:w="4877" w:type="dxa"/>
          </w:tcPr>
          <w:p w14:paraId="5FEC8A4C" w14:textId="77777777" w:rsidR="00FE200F" w:rsidRDefault="00E77CAF">
            <w:pPr>
              <w:rPr>
                <w:rFonts w:ascii="Times New Roman" w:hAnsi="Times New Roman" w:cs="Times New Roman"/>
              </w:rPr>
            </w:pPr>
            <w:r>
              <w:rPr>
                <w:rFonts w:ascii="Times New Roman" w:hAnsi="Times New Roman" w:cs="Times New Roman"/>
              </w:rPr>
              <w:t xml:space="preserve">Итен приоритет за транспозиција на </w:t>
            </w:r>
            <w:r>
              <w:rPr>
                <w:rFonts w:ascii="Times New Roman" w:hAnsi="Times New Roman" w:cs="Times New Roman"/>
                <w:i/>
                <w:iCs/>
              </w:rPr>
              <w:t>EU AI Act</w:t>
            </w:r>
            <w:r>
              <w:rPr>
                <w:rFonts w:ascii="Times New Roman" w:hAnsi="Times New Roman" w:cs="Times New Roman"/>
              </w:rPr>
              <w:t xml:space="preserve"> и формирање на Национален орган з</w:t>
            </w:r>
            <w:r>
              <w:rPr>
                <w:rFonts w:ascii="Times New Roman" w:hAnsi="Times New Roman" w:cs="Times New Roman"/>
              </w:rPr>
              <w:t>а ВИ (</w:t>
            </w:r>
            <w:r>
              <w:rPr>
                <w:rFonts w:ascii="Times New Roman" w:hAnsi="Times New Roman" w:cs="Times New Roman"/>
                <w:lang w:val="mk-MK"/>
              </w:rPr>
              <w:t>Приоритетна област</w:t>
            </w:r>
            <w:r>
              <w:rPr>
                <w:rFonts w:ascii="Times New Roman" w:hAnsi="Times New Roman" w:cs="Times New Roman"/>
              </w:rPr>
              <w:t xml:space="preserve"> 1 и 5).</w:t>
            </w:r>
          </w:p>
        </w:tc>
      </w:tr>
      <w:tr w:rsidR="00FE200F" w14:paraId="5C17D48D" w14:textId="77777777">
        <w:tc>
          <w:tcPr>
            <w:tcW w:w="3752" w:type="dxa"/>
          </w:tcPr>
          <w:p w14:paraId="77718F78" w14:textId="77777777" w:rsidR="00FE200F" w:rsidRDefault="00E77CAF">
            <w:pPr>
              <w:rPr>
                <w:rFonts w:ascii="Times New Roman" w:hAnsi="Times New Roman" w:cs="Times New Roman"/>
              </w:rPr>
            </w:pPr>
            <w:r>
              <w:rPr>
                <w:rFonts w:ascii="Times New Roman" w:hAnsi="Times New Roman" w:cs="Times New Roman"/>
              </w:rPr>
              <w:t>Н2: Институционална фрагментација</w:t>
            </w:r>
          </w:p>
        </w:tc>
        <w:tc>
          <w:tcPr>
            <w:tcW w:w="4877" w:type="dxa"/>
          </w:tcPr>
          <w:p w14:paraId="5A99DF49" w14:textId="77777777" w:rsidR="00FE200F" w:rsidRDefault="00E77CAF">
            <w:pPr>
              <w:rPr>
                <w:rFonts w:ascii="Times New Roman" w:hAnsi="Times New Roman" w:cs="Times New Roman"/>
              </w:rPr>
            </w:pPr>
            <w:r>
              <w:rPr>
                <w:rFonts w:ascii="Times New Roman" w:hAnsi="Times New Roman" w:cs="Times New Roman"/>
              </w:rPr>
              <w:t>Потреба од централизирана координација и јасни надлежности за сите ВИ иницијативи.</w:t>
            </w:r>
          </w:p>
        </w:tc>
      </w:tr>
      <w:tr w:rsidR="00FE200F" w14:paraId="0A8631DE" w14:textId="77777777">
        <w:tc>
          <w:tcPr>
            <w:tcW w:w="3752" w:type="dxa"/>
          </w:tcPr>
          <w:p w14:paraId="194207AE" w14:textId="77777777" w:rsidR="00FE200F" w:rsidRDefault="00E77CAF">
            <w:pPr>
              <w:rPr>
                <w:rFonts w:ascii="Times New Roman" w:hAnsi="Times New Roman" w:cs="Times New Roman"/>
              </w:rPr>
            </w:pPr>
            <w:r>
              <w:rPr>
                <w:rFonts w:ascii="Times New Roman" w:hAnsi="Times New Roman" w:cs="Times New Roman"/>
              </w:rPr>
              <w:t>Н3: Јаз во капацитетите (</w:t>
            </w:r>
            <w:r>
              <w:rPr>
                <w:rFonts w:ascii="Times New Roman" w:hAnsi="Times New Roman" w:cs="Times New Roman"/>
                <w:i/>
                <w:iCs/>
              </w:rPr>
              <w:t xml:space="preserve">Dev &amp; Diffusion </w:t>
            </w:r>
            <w:r>
              <w:rPr>
                <w:rFonts w:ascii="Times New Roman" w:hAnsi="Times New Roman" w:cs="Times New Roman"/>
              </w:rPr>
              <w:t>24.85/100)</w:t>
            </w:r>
          </w:p>
        </w:tc>
        <w:tc>
          <w:tcPr>
            <w:tcW w:w="4877" w:type="dxa"/>
          </w:tcPr>
          <w:p w14:paraId="152D6B9D" w14:textId="77777777" w:rsidR="00FE200F" w:rsidRDefault="00E77CAF">
            <w:pPr>
              <w:rPr>
                <w:rFonts w:ascii="Times New Roman" w:hAnsi="Times New Roman" w:cs="Times New Roman"/>
              </w:rPr>
            </w:pPr>
            <w:r>
              <w:rPr>
                <w:rFonts w:ascii="Times New Roman" w:hAnsi="Times New Roman" w:cs="Times New Roman"/>
              </w:rPr>
              <w:t xml:space="preserve">Фокус на образование, преквалификација и задржување </w:t>
            </w:r>
            <w:r>
              <w:rPr>
                <w:rFonts w:ascii="Times New Roman" w:hAnsi="Times New Roman" w:cs="Times New Roman"/>
              </w:rPr>
              <w:t>на таленти (Приоритетна област 3).</w:t>
            </w:r>
          </w:p>
        </w:tc>
      </w:tr>
      <w:tr w:rsidR="00FE200F" w14:paraId="2994E50F" w14:textId="77777777">
        <w:tc>
          <w:tcPr>
            <w:tcW w:w="3752" w:type="dxa"/>
          </w:tcPr>
          <w:p w14:paraId="5933BE3B" w14:textId="77777777" w:rsidR="00FE200F" w:rsidRDefault="00E77CAF">
            <w:pPr>
              <w:rPr>
                <w:rFonts w:ascii="Times New Roman" w:hAnsi="Times New Roman" w:cs="Times New Roman"/>
              </w:rPr>
            </w:pPr>
            <w:r>
              <w:rPr>
                <w:rFonts w:ascii="Times New Roman" w:hAnsi="Times New Roman" w:cs="Times New Roman"/>
              </w:rPr>
              <w:t>Н4: Инфраструктурен дефицит (</w:t>
            </w:r>
            <w:r>
              <w:rPr>
                <w:rFonts w:ascii="Times New Roman" w:hAnsi="Times New Roman" w:cs="Times New Roman"/>
                <w:i/>
                <w:iCs/>
              </w:rPr>
              <w:t>AI Infrastructure</w:t>
            </w:r>
            <w:r>
              <w:rPr>
                <w:rFonts w:ascii="Times New Roman" w:hAnsi="Times New Roman" w:cs="Times New Roman"/>
              </w:rPr>
              <w:t xml:space="preserve"> 41.12/100)</w:t>
            </w:r>
          </w:p>
        </w:tc>
        <w:tc>
          <w:tcPr>
            <w:tcW w:w="4877" w:type="dxa"/>
          </w:tcPr>
          <w:p w14:paraId="3115BA32" w14:textId="77777777" w:rsidR="00FE200F" w:rsidRDefault="00E77CAF">
            <w:pPr>
              <w:rPr>
                <w:rFonts w:ascii="Times New Roman" w:hAnsi="Times New Roman" w:cs="Times New Roman"/>
              </w:rPr>
            </w:pPr>
            <w:r>
              <w:rPr>
                <w:rFonts w:ascii="Times New Roman" w:hAnsi="Times New Roman" w:cs="Times New Roman"/>
              </w:rPr>
              <w:t xml:space="preserve">Инвестиции во </w:t>
            </w:r>
            <w:r>
              <w:rPr>
                <w:rFonts w:ascii="Times New Roman" w:hAnsi="Times New Roman" w:cs="Times New Roman"/>
                <w:i/>
                <w:iCs/>
              </w:rPr>
              <w:t>HPC</w:t>
            </w:r>
            <w:r>
              <w:rPr>
                <w:rFonts w:ascii="Times New Roman" w:hAnsi="Times New Roman" w:cs="Times New Roman"/>
              </w:rPr>
              <w:t xml:space="preserve"> (Везилка), </w:t>
            </w:r>
            <w:r>
              <w:rPr>
                <w:rFonts w:ascii="Times New Roman" w:hAnsi="Times New Roman" w:cs="Times New Roman"/>
                <w:i/>
                <w:iCs/>
              </w:rPr>
              <w:t>cloud</w:t>
            </w:r>
            <w:r>
              <w:rPr>
                <w:rFonts w:ascii="Times New Roman" w:hAnsi="Times New Roman" w:cs="Times New Roman"/>
              </w:rPr>
              <w:t xml:space="preserve"> инфраструктура и отворени податоци (Приоритетна област 4).</w:t>
            </w:r>
          </w:p>
        </w:tc>
      </w:tr>
      <w:tr w:rsidR="00FE200F" w14:paraId="0E0CE83E" w14:textId="77777777">
        <w:tc>
          <w:tcPr>
            <w:tcW w:w="3752" w:type="dxa"/>
          </w:tcPr>
          <w:p w14:paraId="50244292" w14:textId="77777777" w:rsidR="00FE200F" w:rsidRDefault="00E77CAF">
            <w:pPr>
              <w:rPr>
                <w:rFonts w:ascii="Times New Roman" w:hAnsi="Times New Roman" w:cs="Times New Roman"/>
              </w:rPr>
            </w:pPr>
            <w:r>
              <w:rPr>
                <w:rFonts w:ascii="Times New Roman" w:hAnsi="Times New Roman" w:cs="Times New Roman"/>
              </w:rPr>
              <w:t>Н5: Ниска јавна свест и доверба</w:t>
            </w:r>
          </w:p>
        </w:tc>
        <w:tc>
          <w:tcPr>
            <w:tcW w:w="4877" w:type="dxa"/>
          </w:tcPr>
          <w:p w14:paraId="1A1AB7E1" w14:textId="77777777" w:rsidR="00FE200F" w:rsidRDefault="00E77CAF">
            <w:pPr>
              <w:rPr>
                <w:rFonts w:ascii="Times New Roman" w:hAnsi="Times New Roman" w:cs="Times New Roman"/>
              </w:rPr>
            </w:pPr>
            <w:r>
              <w:rPr>
                <w:rFonts w:ascii="Times New Roman" w:hAnsi="Times New Roman" w:cs="Times New Roman"/>
              </w:rPr>
              <w:t>Вклучување на етички стандарди, тра</w:t>
            </w:r>
            <w:r>
              <w:rPr>
                <w:rFonts w:ascii="Times New Roman" w:hAnsi="Times New Roman" w:cs="Times New Roman"/>
              </w:rPr>
              <w:t>нспарентност и кампањи за подигање на свеста (Приоритетна област 5).</w:t>
            </w:r>
          </w:p>
        </w:tc>
      </w:tr>
      <w:tr w:rsidR="00FE200F" w14:paraId="5CAA2826" w14:textId="77777777">
        <w:tc>
          <w:tcPr>
            <w:tcW w:w="3752" w:type="dxa"/>
          </w:tcPr>
          <w:p w14:paraId="20363A2A" w14:textId="77777777" w:rsidR="00FE200F" w:rsidRDefault="00E77CAF">
            <w:pPr>
              <w:rPr>
                <w:rFonts w:ascii="Times New Roman" w:hAnsi="Times New Roman" w:cs="Times New Roman"/>
              </w:rPr>
            </w:pPr>
            <w:r>
              <w:rPr>
                <w:rFonts w:ascii="Times New Roman" w:hAnsi="Times New Roman" w:cs="Times New Roman"/>
              </w:rPr>
              <w:t>Н6: Ограничена примена во економијата</w:t>
            </w:r>
          </w:p>
        </w:tc>
        <w:tc>
          <w:tcPr>
            <w:tcW w:w="4877" w:type="dxa"/>
          </w:tcPr>
          <w:p w14:paraId="5B62141B" w14:textId="77777777" w:rsidR="00FE200F" w:rsidRDefault="00E77CAF">
            <w:pPr>
              <w:rPr>
                <w:rFonts w:ascii="Times New Roman" w:hAnsi="Times New Roman" w:cs="Times New Roman"/>
              </w:rPr>
            </w:pPr>
            <w:r>
              <w:rPr>
                <w:rFonts w:ascii="Times New Roman" w:hAnsi="Times New Roman" w:cs="Times New Roman"/>
              </w:rPr>
              <w:t>Поддршка за МСП, стартапи и секторска примена на ВИ (Приоритетна област 2).</w:t>
            </w:r>
          </w:p>
        </w:tc>
      </w:tr>
    </w:tbl>
    <w:p w14:paraId="06D31991" w14:textId="77777777" w:rsidR="00FE200F" w:rsidRDefault="00E77CAF">
      <w:pPr>
        <w:pStyle w:val="Heading2"/>
        <w:rPr>
          <w:rFonts w:ascii="Times New Roman" w:hAnsi="Times New Roman" w:cs="Times New Roman"/>
          <w:color w:val="auto"/>
          <w:sz w:val="22"/>
          <w:szCs w:val="22"/>
        </w:rPr>
      </w:pPr>
      <w:bookmarkStart w:id="137" w:name="_Toc240630094"/>
      <w:bookmarkStart w:id="138" w:name="_Toc243908037"/>
      <w:r>
        <w:rPr>
          <w:rFonts w:ascii="Times New Roman" w:hAnsi="Times New Roman" w:cs="Times New Roman"/>
          <w:color w:val="auto"/>
          <w:sz w:val="22"/>
          <w:szCs w:val="22"/>
        </w:rPr>
        <w:t>8.7 Опфат и временска рамка</w:t>
      </w:r>
      <w:bookmarkEnd w:id="137"/>
      <w:bookmarkEnd w:id="138"/>
    </w:p>
    <w:p w14:paraId="6B888865" w14:textId="77777777" w:rsidR="00FE200F" w:rsidRDefault="00E77CAF">
      <w:pPr>
        <w:jc w:val="both"/>
        <w:rPr>
          <w:rFonts w:ascii="Times New Roman" w:hAnsi="Times New Roman" w:cs="Times New Roman"/>
        </w:rPr>
      </w:pPr>
      <w:r>
        <w:rPr>
          <w:rFonts w:ascii="Times New Roman" w:hAnsi="Times New Roman" w:cs="Times New Roman"/>
        </w:rPr>
        <w:t xml:space="preserve">Овој документ го покрива периодот 2027–2029 година (прв </w:t>
      </w:r>
      <w:r>
        <w:rPr>
          <w:rFonts w:ascii="Times New Roman" w:hAnsi="Times New Roman" w:cs="Times New Roman"/>
          <w:lang w:val="mk-MK"/>
        </w:rPr>
        <w:t>тригодишен Акциски план</w:t>
      </w:r>
      <w:r>
        <w:rPr>
          <w:rFonts w:ascii="Times New Roman" w:hAnsi="Times New Roman" w:cs="Times New Roman"/>
        </w:rPr>
        <w:t>), со стратешки хоризонт до 2032 година.</w:t>
      </w:r>
    </w:p>
    <w:p w14:paraId="6FE577C9" w14:textId="77777777" w:rsidR="00FE200F" w:rsidRDefault="00E77CAF">
      <w:pPr>
        <w:jc w:val="both"/>
        <w:rPr>
          <w:rFonts w:ascii="Times New Roman" w:hAnsi="Times New Roman" w:cs="Times New Roman"/>
        </w:rPr>
      </w:pPr>
      <w:r>
        <w:rPr>
          <w:rFonts w:ascii="Times New Roman" w:hAnsi="Times New Roman" w:cs="Times New Roman"/>
        </w:rPr>
        <w:t>Акцискиот план е организиран во пет приоритетни области, со вкупно 27 мерки и 78 активности, проценет индикативен буџет од 14.250.000 EU</w:t>
      </w:r>
      <w:r>
        <w:rPr>
          <w:rFonts w:ascii="Times New Roman" w:hAnsi="Times New Roman" w:cs="Times New Roman"/>
        </w:rPr>
        <w:t>R и јасни носители, рокови и показатели за резултати за секоја мерка. Износите и изворите на финансирање се работна основа за ОПФИ и задолжително подлежат на валидација од Министерството за финансии, водечките институции и соодветните програми.</w:t>
      </w:r>
    </w:p>
    <w:p w14:paraId="513145D7" w14:textId="77777777" w:rsidR="00FE200F" w:rsidRDefault="00E77CAF">
      <w:pPr>
        <w:pStyle w:val="Heading2"/>
        <w:rPr>
          <w:rFonts w:ascii="Times New Roman" w:hAnsi="Times New Roman" w:cs="Times New Roman"/>
          <w:color w:val="auto"/>
          <w:sz w:val="22"/>
          <w:szCs w:val="22"/>
        </w:rPr>
      </w:pPr>
      <w:bookmarkStart w:id="139" w:name="_Toc240630095"/>
      <w:bookmarkStart w:id="140" w:name="_Toc243908038"/>
      <w:r>
        <w:rPr>
          <w:rFonts w:ascii="Times New Roman" w:hAnsi="Times New Roman" w:cs="Times New Roman"/>
          <w:color w:val="auto"/>
          <w:sz w:val="22"/>
          <w:szCs w:val="22"/>
          <w:lang w:val="mk-MK"/>
        </w:rPr>
        <w:t>8</w:t>
      </w:r>
      <w:r>
        <w:rPr>
          <w:rFonts w:ascii="Times New Roman" w:hAnsi="Times New Roman" w:cs="Times New Roman"/>
          <w:color w:val="auto"/>
          <w:sz w:val="22"/>
          <w:szCs w:val="22"/>
        </w:rPr>
        <w:t>.</w:t>
      </w:r>
      <w:r>
        <w:rPr>
          <w:rFonts w:ascii="Times New Roman" w:hAnsi="Times New Roman" w:cs="Times New Roman"/>
          <w:color w:val="auto"/>
          <w:sz w:val="22"/>
          <w:szCs w:val="22"/>
          <w:lang w:val="mk-MK"/>
        </w:rPr>
        <w:t>8</w:t>
      </w:r>
      <w:r>
        <w:rPr>
          <w:rFonts w:ascii="Times New Roman" w:hAnsi="Times New Roman" w:cs="Times New Roman"/>
          <w:color w:val="auto"/>
          <w:sz w:val="22"/>
          <w:szCs w:val="22"/>
        </w:rPr>
        <w:t xml:space="preserve"> Методол</w:t>
      </w:r>
      <w:r>
        <w:rPr>
          <w:rFonts w:ascii="Times New Roman" w:hAnsi="Times New Roman" w:cs="Times New Roman"/>
          <w:color w:val="auto"/>
          <w:sz w:val="22"/>
          <w:szCs w:val="22"/>
        </w:rPr>
        <w:t>огија за изработка</w:t>
      </w:r>
      <w:bookmarkEnd w:id="139"/>
      <w:bookmarkEnd w:id="140"/>
    </w:p>
    <w:p w14:paraId="6A5131A1" w14:textId="77777777" w:rsidR="00FE200F" w:rsidRDefault="00E77CAF">
      <w:pPr>
        <w:jc w:val="both"/>
        <w:rPr>
          <w:rFonts w:ascii="Times New Roman" w:hAnsi="Times New Roman" w:cs="Times New Roman"/>
        </w:rPr>
      </w:pPr>
      <w:r>
        <w:rPr>
          <w:rFonts w:ascii="Times New Roman" w:hAnsi="Times New Roman" w:cs="Times New Roman"/>
          <w:lang w:val="mk-MK"/>
        </w:rPr>
        <w:t xml:space="preserve">Стратегијата е изработена согласно </w:t>
      </w:r>
      <w:r>
        <w:rPr>
          <w:rFonts w:ascii="Times New Roman" w:hAnsi="Times New Roman" w:cs="Times New Roman"/>
        </w:rPr>
        <w:t xml:space="preserve">Методологија за </w:t>
      </w:r>
      <w:r>
        <w:rPr>
          <w:rFonts w:ascii="Times New Roman" w:hAnsi="Times New Roman" w:cs="Times New Roman"/>
          <w:lang w:val="mk-MK"/>
        </w:rPr>
        <w:t>начинот на подготвување, спроведување, следење, известување и оценување на секторските стратегии</w:t>
      </w:r>
      <w:r>
        <w:rPr>
          <w:rFonts w:ascii="Times New Roman" w:hAnsi="Times New Roman" w:cs="Times New Roman"/>
        </w:rPr>
        <w:t xml:space="preserve">, усогласена со </w:t>
      </w:r>
      <w:r>
        <w:rPr>
          <w:rFonts w:ascii="Times New Roman" w:hAnsi="Times New Roman" w:cs="Times New Roman"/>
          <w:lang w:val="mk-MK"/>
        </w:rPr>
        <w:t>Упатство за структурата, содржината и начинот на подготвување, спроведувањ</w:t>
      </w:r>
      <w:r>
        <w:rPr>
          <w:rFonts w:ascii="Times New Roman" w:hAnsi="Times New Roman" w:cs="Times New Roman"/>
          <w:lang w:val="mk-MK"/>
        </w:rPr>
        <w:t>е, следење, известување и оценување на секторските и мултисекторските стратегии</w:t>
      </w:r>
      <w:r>
        <w:rPr>
          <w:rFonts w:ascii="Times New Roman" w:hAnsi="Times New Roman" w:cs="Times New Roman"/>
        </w:rPr>
        <w:t>. Методолошкиот пристап вклучува:</w:t>
      </w:r>
    </w:p>
    <w:p w14:paraId="47E9D63D" w14:textId="77777777" w:rsidR="00FE200F" w:rsidRDefault="00E77CAF">
      <w:pPr>
        <w:pStyle w:val="ListBullet"/>
        <w:suppressAutoHyphens w:val="0"/>
        <w:spacing w:after="200" w:line="276" w:lineRule="auto"/>
        <w:rPr>
          <w:rFonts w:ascii="Times New Roman" w:hAnsi="Times New Roman" w:cs="Times New Roman"/>
        </w:rPr>
      </w:pPr>
      <w:r>
        <w:rPr>
          <w:rFonts w:ascii="Times New Roman" w:hAnsi="Times New Roman" w:cs="Times New Roman"/>
        </w:rPr>
        <w:lastRenderedPageBreak/>
        <w:t>Директна трансформација на наодите од SWOT и PESTLE анализата во стратешки мерки</w:t>
      </w:r>
    </w:p>
    <w:p w14:paraId="70CCB973" w14:textId="77777777" w:rsidR="00FE200F" w:rsidRDefault="00E77CAF">
      <w:pPr>
        <w:pStyle w:val="ListBullet"/>
        <w:suppressAutoHyphens w:val="0"/>
        <w:spacing w:after="200" w:line="276" w:lineRule="auto"/>
        <w:rPr>
          <w:rFonts w:ascii="Times New Roman" w:hAnsi="Times New Roman" w:cs="Times New Roman"/>
        </w:rPr>
      </w:pPr>
      <w:r>
        <w:rPr>
          <w:rFonts w:ascii="Times New Roman" w:hAnsi="Times New Roman" w:cs="Times New Roman"/>
        </w:rPr>
        <w:t xml:space="preserve">Усогласување со </w:t>
      </w:r>
      <w:r>
        <w:rPr>
          <w:rFonts w:ascii="Times New Roman" w:hAnsi="Times New Roman" w:cs="Times New Roman"/>
          <w:lang w:val="mk-MK"/>
        </w:rPr>
        <w:t xml:space="preserve">општите </w:t>
      </w:r>
      <w:r>
        <w:rPr>
          <w:rFonts w:ascii="Times New Roman" w:hAnsi="Times New Roman" w:cs="Times New Roman"/>
        </w:rPr>
        <w:t>стратешки цели СЦ-1 до СЦ-6</w:t>
      </w:r>
    </w:p>
    <w:p w14:paraId="78F36211" w14:textId="77777777" w:rsidR="00FE200F" w:rsidRDefault="00E77CAF">
      <w:pPr>
        <w:pStyle w:val="ListBullet"/>
        <w:suppressAutoHyphens w:val="0"/>
        <w:spacing w:after="200" w:line="276" w:lineRule="auto"/>
        <w:rPr>
          <w:rFonts w:ascii="Times New Roman" w:hAnsi="Times New Roman" w:cs="Times New Roman"/>
        </w:rPr>
      </w:pPr>
      <w:r>
        <w:rPr>
          <w:rFonts w:ascii="Times New Roman" w:hAnsi="Times New Roman" w:cs="Times New Roman"/>
        </w:rPr>
        <w:t xml:space="preserve">Примена на </w:t>
      </w:r>
      <w:r>
        <w:rPr>
          <w:rFonts w:ascii="Times New Roman" w:hAnsi="Times New Roman" w:cs="Times New Roman"/>
          <w:i/>
          <w:iCs/>
        </w:rPr>
        <w:t>Oxford Insights GARI</w:t>
      </w:r>
      <w:r>
        <w:rPr>
          <w:rFonts w:ascii="Times New Roman" w:hAnsi="Times New Roman" w:cs="Times New Roman"/>
        </w:rPr>
        <w:t xml:space="preserve"> 2025 </w:t>
      </w:r>
      <w:r>
        <w:rPr>
          <w:rFonts w:ascii="Times New Roman" w:hAnsi="Times New Roman" w:cs="Times New Roman"/>
          <w:lang w:val="mk-MK"/>
        </w:rPr>
        <w:t>во п</w:t>
      </w:r>
      <w:r>
        <w:rPr>
          <w:rFonts w:ascii="Times New Roman" w:hAnsi="Times New Roman" w:cs="Times New Roman"/>
        </w:rPr>
        <w:t>риоритетн</w:t>
      </w:r>
      <w:r>
        <w:rPr>
          <w:rFonts w:ascii="Times New Roman" w:hAnsi="Times New Roman" w:cs="Times New Roman"/>
          <w:lang w:val="mk-MK"/>
        </w:rPr>
        <w:t>ите</w:t>
      </w:r>
      <w:r>
        <w:rPr>
          <w:rFonts w:ascii="Times New Roman" w:hAnsi="Times New Roman" w:cs="Times New Roman"/>
        </w:rPr>
        <w:t xml:space="preserve"> области како </w:t>
      </w:r>
      <w:r>
        <w:rPr>
          <w:rFonts w:ascii="Times New Roman" w:hAnsi="Times New Roman" w:cs="Times New Roman"/>
          <w:i/>
          <w:iCs/>
        </w:rPr>
        <w:t>KPI</w:t>
      </w:r>
      <w:r>
        <w:rPr>
          <w:rFonts w:ascii="Times New Roman" w:hAnsi="Times New Roman" w:cs="Times New Roman"/>
        </w:rPr>
        <w:t xml:space="preserve"> рамка за мониторинг</w:t>
      </w:r>
    </w:p>
    <w:p w14:paraId="2C061898" w14:textId="77777777" w:rsidR="00FE200F" w:rsidRDefault="00E77CAF">
      <w:pPr>
        <w:pStyle w:val="ListBullet"/>
        <w:suppressAutoHyphens w:val="0"/>
        <w:spacing w:after="200" w:line="276" w:lineRule="auto"/>
        <w:rPr>
          <w:rFonts w:ascii="Times New Roman" w:hAnsi="Times New Roman" w:cs="Times New Roman"/>
        </w:rPr>
      </w:pPr>
      <w:r>
        <w:rPr>
          <w:rFonts w:ascii="Times New Roman" w:hAnsi="Times New Roman" w:cs="Times New Roman"/>
        </w:rPr>
        <w:t>Регионална компаративна анализа (Србија, Хрватска, Албанија, Косово, БиХ) за поставување на реалистични цели</w:t>
      </w:r>
    </w:p>
    <w:p w14:paraId="00EA40C9" w14:textId="77777777" w:rsidR="00FE200F" w:rsidRDefault="00E77CAF">
      <w:pPr>
        <w:pStyle w:val="ListBullet"/>
        <w:suppressAutoHyphens w:val="0"/>
        <w:spacing w:after="200" w:line="276" w:lineRule="auto"/>
        <w:rPr>
          <w:rFonts w:ascii="Times New Roman" w:hAnsi="Times New Roman" w:cs="Times New Roman"/>
        </w:rPr>
      </w:pPr>
      <w:r>
        <w:rPr>
          <w:rFonts w:ascii="Times New Roman" w:hAnsi="Times New Roman" w:cs="Times New Roman"/>
        </w:rPr>
        <w:t>Консултации со работната група формирана при МДТ</w:t>
      </w:r>
    </w:p>
    <w:p w14:paraId="35C41006" w14:textId="77777777" w:rsidR="00FE200F" w:rsidRDefault="00E77CAF">
      <w:pPr>
        <w:pStyle w:val="Heading2"/>
        <w:spacing w:after="100" w:line="252" w:lineRule="auto"/>
        <w:rPr>
          <w:rFonts w:ascii="Times New Roman" w:hAnsi="Times New Roman" w:cs="Times New Roman"/>
          <w:color w:val="auto"/>
          <w:sz w:val="22"/>
          <w:szCs w:val="22"/>
        </w:rPr>
      </w:pPr>
      <w:bookmarkStart w:id="141" w:name="_Toc240630096"/>
      <w:bookmarkStart w:id="142" w:name="_Toc243908039"/>
      <w:r>
        <w:rPr>
          <w:rFonts w:ascii="Times New Roman" w:eastAsia="Arial" w:hAnsi="Times New Roman" w:cs="Times New Roman"/>
          <w:color w:val="auto"/>
          <w:sz w:val="22"/>
          <w:szCs w:val="22"/>
          <w:lang w:val="mk-MK"/>
        </w:rPr>
        <w:t>8</w:t>
      </w:r>
      <w:r>
        <w:rPr>
          <w:rFonts w:ascii="Times New Roman" w:eastAsia="Arial" w:hAnsi="Times New Roman" w:cs="Times New Roman"/>
          <w:color w:val="auto"/>
          <w:sz w:val="22"/>
          <w:szCs w:val="22"/>
        </w:rPr>
        <w:t>.</w:t>
      </w:r>
      <w:r>
        <w:rPr>
          <w:rFonts w:ascii="Times New Roman" w:eastAsia="Arial" w:hAnsi="Times New Roman" w:cs="Times New Roman"/>
          <w:color w:val="auto"/>
          <w:sz w:val="22"/>
          <w:szCs w:val="22"/>
          <w:lang w:val="mk-MK"/>
        </w:rPr>
        <w:t>9</w:t>
      </w:r>
      <w:r>
        <w:rPr>
          <w:rFonts w:ascii="Times New Roman" w:eastAsia="Arial" w:hAnsi="Times New Roman" w:cs="Times New Roman"/>
          <w:color w:val="auto"/>
          <w:sz w:val="22"/>
          <w:szCs w:val="22"/>
        </w:rPr>
        <w:t xml:space="preserve"> Евр</w:t>
      </w:r>
      <w:r>
        <w:rPr>
          <w:rFonts w:ascii="Times New Roman" w:eastAsia="Arial" w:hAnsi="Times New Roman" w:cs="Times New Roman"/>
          <w:color w:val="auto"/>
          <w:sz w:val="22"/>
          <w:szCs w:val="22"/>
        </w:rPr>
        <w:t>опски и национален контекст</w:t>
      </w:r>
      <w:bookmarkEnd w:id="141"/>
      <w:bookmarkEnd w:id="142"/>
    </w:p>
    <w:p w14:paraId="3DA78814" w14:textId="77777777" w:rsidR="00FE200F" w:rsidRDefault="00E77CAF">
      <w:pPr>
        <w:jc w:val="both"/>
        <w:rPr>
          <w:rFonts w:ascii="Times New Roman" w:hAnsi="Times New Roman" w:cs="Times New Roman"/>
        </w:rPr>
      </w:pPr>
      <w:r>
        <w:rPr>
          <w:rFonts w:ascii="Times New Roman" w:hAnsi="Times New Roman" w:cs="Times New Roman"/>
        </w:rPr>
        <w:t>Вештачката интелигенција е идентификувана од Европската унија, Г7, ОЕЦД и Обединетите нации како трансформативна технологија со потенцијал да ги редефинира економиите, општествата и начините на управување. ЕУ Актот за вештачка и</w:t>
      </w:r>
      <w:r>
        <w:rPr>
          <w:rFonts w:ascii="Times New Roman" w:hAnsi="Times New Roman" w:cs="Times New Roman"/>
        </w:rPr>
        <w:t>нтелигенција (</w:t>
      </w:r>
      <w:r>
        <w:rPr>
          <w:rFonts w:ascii="Times New Roman" w:hAnsi="Times New Roman" w:cs="Times New Roman"/>
          <w:i/>
          <w:iCs/>
        </w:rPr>
        <w:t>EU AI Act</w:t>
      </w:r>
      <w:r>
        <w:rPr>
          <w:rFonts w:ascii="Times New Roman" w:hAnsi="Times New Roman" w:cs="Times New Roman"/>
        </w:rPr>
        <w:t>), усвоен во 2024 година, претставува прва сеопфатна правна рамка за ВИ во светот и директно влијае на Македонија преку процесот на пристапување кон ЕУ.</w:t>
      </w:r>
    </w:p>
    <w:p w14:paraId="5F1C3AA9" w14:textId="77777777" w:rsidR="00FE200F" w:rsidRDefault="00E77CAF">
      <w:pPr>
        <w:jc w:val="both"/>
        <w:rPr>
          <w:rFonts w:ascii="Times New Roman" w:hAnsi="Times New Roman" w:cs="Times New Roman"/>
        </w:rPr>
      </w:pPr>
      <w:r>
        <w:rPr>
          <w:rFonts w:ascii="Times New Roman" w:hAnsi="Times New Roman" w:cs="Times New Roman"/>
        </w:rPr>
        <w:t>Европската стратегија за ВИ (2021) и ревидираниот Координиран план за ВИ (2021/2</w:t>
      </w:r>
      <w:r>
        <w:rPr>
          <w:rFonts w:ascii="Times New Roman" w:hAnsi="Times New Roman" w:cs="Times New Roman"/>
        </w:rPr>
        <w:t xml:space="preserve">024) поставуваат јасни очекувања за земјите-кандидати: усогласување на националните регулаторни рамки со </w:t>
      </w:r>
      <w:r>
        <w:rPr>
          <w:rFonts w:ascii="Times New Roman" w:hAnsi="Times New Roman" w:cs="Times New Roman"/>
          <w:i/>
          <w:iCs/>
        </w:rPr>
        <w:t>EU AI Act</w:t>
      </w:r>
      <w:r>
        <w:rPr>
          <w:rFonts w:ascii="Times New Roman" w:hAnsi="Times New Roman" w:cs="Times New Roman"/>
        </w:rPr>
        <w:t xml:space="preserve">, инвестиции во дигитална инфраструктура и развој на ВИ компетенции. Земјите кои </w:t>
      </w:r>
      <w:r>
        <w:rPr>
          <w:rFonts w:ascii="Times New Roman" w:hAnsi="Times New Roman" w:cs="Times New Roman"/>
          <w:lang w:val="mk-MK"/>
        </w:rPr>
        <w:t xml:space="preserve">ќе </w:t>
      </w:r>
      <w:r>
        <w:rPr>
          <w:rFonts w:ascii="Times New Roman" w:hAnsi="Times New Roman" w:cs="Times New Roman"/>
        </w:rPr>
        <w:t>ги исполнат овие услови ќе имаат приоритетен пристап до ЕУ</w:t>
      </w:r>
      <w:r>
        <w:rPr>
          <w:rFonts w:ascii="Times New Roman" w:hAnsi="Times New Roman" w:cs="Times New Roman"/>
        </w:rPr>
        <w:t xml:space="preserve"> фондови</w:t>
      </w:r>
      <w:r>
        <w:rPr>
          <w:rFonts w:ascii="Times New Roman" w:hAnsi="Times New Roman" w:cs="Times New Roman"/>
          <w:lang w:val="mk-MK"/>
        </w:rPr>
        <w:t>те</w:t>
      </w:r>
      <w:r>
        <w:rPr>
          <w:rFonts w:ascii="Times New Roman" w:hAnsi="Times New Roman" w:cs="Times New Roman"/>
        </w:rPr>
        <w:t xml:space="preserve"> за дигитална трансформација во периодот 2028–2034.</w:t>
      </w:r>
    </w:p>
    <w:p w14:paraId="5903459A" w14:textId="77777777" w:rsidR="00FE200F" w:rsidRDefault="00E77CAF">
      <w:pPr>
        <w:pStyle w:val="Heading2"/>
        <w:spacing w:after="100" w:line="252" w:lineRule="auto"/>
        <w:rPr>
          <w:rFonts w:ascii="Times New Roman" w:hAnsi="Times New Roman" w:cs="Times New Roman"/>
          <w:color w:val="auto"/>
          <w:sz w:val="22"/>
          <w:szCs w:val="22"/>
        </w:rPr>
      </w:pPr>
      <w:bookmarkStart w:id="143" w:name="_Toc240630097"/>
      <w:bookmarkStart w:id="144" w:name="_Toc243908040"/>
      <w:r>
        <w:rPr>
          <w:rFonts w:ascii="Times New Roman" w:eastAsia="Arial" w:hAnsi="Times New Roman" w:cs="Times New Roman"/>
          <w:color w:val="auto"/>
          <w:sz w:val="22"/>
          <w:szCs w:val="22"/>
          <w:lang w:val="mk-MK"/>
        </w:rPr>
        <w:t>8</w:t>
      </w:r>
      <w:r>
        <w:rPr>
          <w:rFonts w:ascii="Times New Roman" w:eastAsia="Arial" w:hAnsi="Times New Roman" w:cs="Times New Roman"/>
          <w:color w:val="auto"/>
          <w:sz w:val="22"/>
          <w:szCs w:val="22"/>
        </w:rPr>
        <w:t>.</w:t>
      </w:r>
      <w:r>
        <w:rPr>
          <w:rFonts w:ascii="Times New Roman" w:eastAsia="Arial" w:hAnsi="Times New Roman" w:cs="Times New Roman"/>
          <w:color w:val="auto"/>
          <w:sz w:val="22"/>
          <w:szCs w:val="22"/>
          <w:lang w:val="mk-MK"/>
        </w:rPr>
        <w:t>10</w:t>
      </w:r>
      <w:r>
        <w:rPr>
          <w:rFonts w:ascii="Times New Roman" w:eastAsia="Arial" w:hAnsi="Times New Roman" w:cs="Times New Roman"/>
          <w:color w:val="auto"/>
          <w:sz w:val="22"/>
          <w:szCs w:val="22"/>
        </w:rPr>
        <w:t xml:space="preserve"> Усогласеност со клучни национални и европски документи</w:t>
      </w:r>
      <w:bookmarkEnd w:id="143"/>
      <w:bookmarkEnd w:id="144"/>
    </w:p>
    <w:p w14:paraId="6D920779" w14:textId="77777777" w:rsidR="00FE200F" w:rsidRDefault="00E77CAF">
      <w:pPr>
        <w:spacing w:after="100" w:line="252" w:lineRule="auto"/>
        <w:jc w:val="both"/>
        <w:rPr>
          <w:rFonts w:ascii="Times New Roman" w:hAnsi="Times New Roman" w:cs="Times New Roman"/>
          <w:color w:val="auto"/>
        </w:rPr>
      </w:pPr>
      <w:r>
        <w:rPr>
          <w:rFonts w:ascii="Times New Roman" w:eastAsia="Arial" w:hAnsi="Times New Roman" w:cs="Times New Roman"/>
          <w:color w:val="auto"/>
        </w:rPr>
        <w:t>Стратегијата се надоврзува на Националната развојна стратегија 2024–2044, СМАРТ/МК:2030, Стратегијата за паметна специјализација 2024–</w:t>
      </w:r>
      <w:r>
        <w:rPr>
          <w:rFonts w:ascii="Times New Roman" w:eastAsia="Arial" w:hAnsi="Times New Roman" w:cs="Times New Roman"/>
          <w:color w:val="auto"/>
        </w:rPr>
        <w:t xml:space="preserve">2027, Стратегијата за сајбер-безбедност и релевантните европски рамки. Таа ги преточува </w:t>
      </w:r>
      <w:r>
        <w:rPr>
          <w:rFonts w:ascii="Times New Roman" w:eastAsia="Arial" w:hAnsi="Times New Roman" w:cs="Times New Roman"/>
          <w:color w:val="auto"/>
          <w:lang w:val="mk-MK"/>
        </w:rPr>
        <w:t>анализите</w:t>
      </w:r>
      <w:r>
        <w:rPr>
          <w:rFonts w:ascii="Times New Roman" w:eastAsia="Arial" w:hAnsi="Times New Roman" w:cs="Times New Roman"/>
          <w:color w:val="auto"/>
        </w:rPr>
        <w:t xml:space="preserve"> во мерки што го поттикнуваат одговорното користење на ВИ во јавниот сектор, економијата, образованието, инфраструктурата и правната рамка.</w:t>
      </w:r>
    </w:p>
    <w:p w14:paraId="1635A7B1" w14:textId="77777777" w:rsidR="00FE200F" w:rsidRDefault="00E77CAF">
      <w:pPr>
        <w:pStyle w:val="Heading2"/>
        <w:spacing w:after="100" w:line="252" w:lineRule="auto"/>
        <w:rPr>
          <w:rFonts w:ascii="Times New Roman" w:hAnsi="Times New Roman" w:cs="Times New Roman"/>
          <w:color w:val="auto"/>
          <w:sz w:val="22"/>
          <w:szCs w:val="22"/>
        </w:rPr>
      </w:pPr>
      <w:bookmarkStart w:id="145" w:name="_Toc240630098"/>
      <w:bookmarkStart w:id="146" w:name="_Toc243908041"/>
      <w:r>
        <w:rPr>
          <w:rFonts w:ascii="Times New Roman" w:eastAsia="Arial" w:hAnsi="Times New Roman" w:cs="Times New Roman"/>
          <w:color w:val="auto"/>
          <w:sz w:val="22"/>
          <w:szCs w:val="22"/>
          <w:lang w:val="mk-MK"/>
        </w:rPr>
        <w:t>8</w:t>
      </w:r>
      <w:r>
        <w:rPr>
          <w:rFonts w:ascii="Times New Roman" w:eastAsia="Arial" w:hAnsi="Times New Roman" w:cs="Times New Roman"/>
          <w:color w:val="auto"/>
          <w:sz w:val="22"/>
          <w:szCs w:val="22"/>
        </w:rPr>
        <w:t>.</w:t>
      </w:r>
      <w:r>
        <w:rPr>
          <w:rFonts w:ascii="Times New Roman" w:eastAsia="Arial" w:hAnsi="Times New Roman" w:cs="Times New Roman"/>
          <w:color w:val="auto"/>
          <w:sz w:val="22"/>
          <w:szCs w:val="22"/>
          <w:lang w:val="mk-MK"/>
        </w:rPr>
        <w:t>11</w:t>
      </w:r>
      <w:r>
        <w:rPr>
          <w:rFonts w:ascii="Times New Roman" w:eastAsia="Arial" w:hAnsi="Times New Roman" w:cs="Times New Roman"/>
          <w:color w:val="auto"/>
          <w:sz w:val="22"/>
          <w:szCs w:val="22"/>
        </w:rPr>
        <w:t xml:space="preserve"> Приоритетни об</w:t>
      </w:r>
      <w:r>
        <w:rPr>
          <w:rFonts w:ascii="Times New Roman" w:eastAsia="Arial" w:hAnsi="Times New Roman" w:cs="Times New Roman"/>
          <w:color w:val="auto"/>
          <w:sz w:val="22"/>
          <w:szCs w:val="22"/>
        </w:rPr>
        <w:t>ласти: образложение, усогласеност и очекуван ефект</w:t>
      </w:r>
      <w:bookmarkEnd w:id="145"/>
      <w:bookmarkEnd w:id="146"/>
    </w:p>
    <w:p w14:paraId="236EF902" w14:textId="77777777" w:rsidR="00FE200F" w:rsidRDefault="00E77CAF">
      <w:pPr>
        <w:spacing w:after="100" w:line="252" w:lineRule="auto"/>
        <w:jc w:val="both"/>
        <w:rPr>
          <w:rFonts w:ascii="Times New Roman" w:eastAsia="Arial" w:hAnsi="Times New Roman" w:cs="Times New Roman"/>
        </w:rPr>
      </w:pPr>
      <w:r>
        <w:rPr>
          <w:rFonts w:ascii="Times New Roman" w:eastAsia="Arial" w:hAnsi="Times New Roman" w:cs="Times New Roman"/>
        </w:rPr>
        <w:t>Приоритетни</w:t>
      </w:r>
      <w:r>
        <w:rPr>
          <w:rFonts w:ascii="Times New Roman" w:eastAsia="Arial" w:hAnsi="Times New Roman" w:cs="Times New Roman"/>
          <w:lang w:val="mk-MK"/>
        </w:rPr>
        <w:t>те</w:t>
      </w:r>
      <w:r>
        <w:rPr>
          <w:rFonts w:ascii="Times New Roman" w:eastAsia="Arial" w:hAnsi="Times New Roman" w:cs="Times New Roman"/>
        </w:rPr>
        <w:t xml:space="preserve"> области се утврдени врз основа на </w:t>
      </w:r>
      <w:r>
        <w:rPr>
          <w:rFonts w:ascii="Times New Roman" w:eastAsia="Arial" w:hAnsi="Times New Roman" w:cs="Times New Roman"/>
          <w:lang w:val="mk-MK"/>
        </w:rPr>
        <w:t>анализата</w:t>
      </w:r>
      <w:r>
        <w:rPr>
          <w:rFonts w:ascii="Times New Roman" w:eastAsia="Arial" w:hAnsi="Times New Roman" w:cs="Times New Roman"/>
        </w:rPr>
        <w:t xml:space="preserve"> и се поставени како кохерентна стратешка рамка. За секоја област се дефинирани општа цел, посебни цели, мерки и активности, како и усогласеност со </w:t>
      </w:r>
      <w:r>
        <w:rPr>
          <w:rFonts w:ascii="Times New Roman" w:eastAsia="Arial" w:hAnsi="Times New Roman" w:cs="Times New Roman"/>
        </w:rPr>
        <w:t xml:space="preserve">Националната развојна стратегија 2024–2044 и </w:t>
      </w:r>
      <w:r>
        <w:rPr>
          <w:rFonts w:ascii="Times New Roman" w:eastAsia="Arial" w:hAnsi="Times New Roman" w:cs="Times New Roman"/>
          <w:lang w:val="mk-MK"/>
        </w:rPr>
        <w:t xml:space="preserve">Стратегијата </w:t>
      </w:r>
      <w:r>
        <w:rPr>
          <w:rFonts w:ascii="Times New Roman" w:eastAsia="Arial" w:hAnsi="Times New Roman" w:cs="Times New Roman"/>
        </w:rPr>
        <w:t>СМАРТ/МК:2030.</w:t>
      </w:r>
    </w:p>
    <w:p w14:paraId="7353950B" w14:textId="77777777" w:rsidR="00FE200F" w:rsidRDefault="00FE200F">
      <w:pPr>
        <w:spacing w:after="100" w:line="252" w:lineRule="auto"/>
        <w:jc w:val="both"/>
        <w:rPr>
          <w:rFonts w:ascii="Times New Roman" w:hAnsi="Times New Roman" w:cs="Times New Roman"/>
        </w:rPr>
      </w:pPr>
    </w:p>
    <w:p w14:paraId="6889C699" w14:textId="77777777" w:rsidR="00FE200F" w:rsidRDefault="00E77CAF">
      <w:pPr>
        <w:spacing w:after="100" w:line="252" w:lineRule="auto"/>
        <w:jc w:val="both"/>
        <w:rPr>
          <w:rFonts w:ascii="Times New Roman" w:hAnsi="Times New Roman" w:cs="Times New Roman"/>
        </w:rPr>
      </w:pPr>
      <w:r>
        <w:rPr>
          <w:rFonts w:ascii="Times New Roman" w:eastAsia="Arial" w:hAnsi="Times New Roman" w:cs="Times New Roman"/>
          <w:b/>
        </w:rPr>
        <w:t>Табела: Приоритетни области — образложение, усогласеност и очекуван ефект</w:t>
      </w:r>
    </w:p>
    <w:tbl>
      <w:tblPr>
        <w:tblStyle w:val="TableGrid"/>
        <w:tblW w:w="8630" w:type="dxa"/>
        <w:tblLayout w:type="fixed"/>
        <w:tblCellMar>
          <w:top w:w="40" w:type="dxa"/>
          <w:left w:w="50" w:type="dxa"/>
          <w:bottom w:w="40" w:type="dxa"/>
          <w:right w:w="50" w:type="dxa"/>
        </w:tblCellMar>
        <w:tblLook w:val="04A0" w:firstRow="1" w:lastRow="0" w:firstColumn="1" w:lastColumn="0" w:noHBand="0" w:noVBand="1"/>
      </w:tblPr>
      <w:tblGrid>
        <w:gridCol w:w="1934"/>
        <w:gridCol w:w="2375"/>
        <w:gridCol w:w="2346"/>
        <w:gridCol w:w="1975"/>
      </w:tblGrid>
      <w:tr w:rsidR="00FE200F" w14:paraId="6E4B9356" w14:textId="77777777">
        <w:trPr>
          <w:tblHeader/>
        </w:trPr>
        <w:tc>
          <w:tcPr>
            <w:tcW w:w="1933" w:type="dxa"/>
            <w:shd w:val="clear" w:color="auto" w:fill="4472C4"/>
            <w:vAlign w:val="center"/>
          </w:tcPr>
          <w:p w14:paraId="0894C250"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Приоритетна област / Општа цел</w:t>
            </w:r>
          </w:p>
        </w:tc>
        <w:tc>
          <w:tcPr>
            <w:tcW w:w="2375" w:type="dxa"/>
            <w:shd w:val="clear" w:color="auto" w:fill="4472C4"/>
            <w:vAlign w:val="center"/>
          </w:tcPr>
          <w:p w14:paraId="4DEF2BA9"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Образложение</w:t>
            </w:r>
          </w:p>
        </w:tc>
        <w:tc>
          <w:tcPr>
            <w:tcW w:w="2346" w:type="dxa"/>
            <w:shd w:val="clear" w:color="auto" w:fill="4472C4"/>
            <w:vAlign w:val="center"/>
          </w:tcPr>
          <w:p w14:paraId="6B6ADFDD"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Поврзаност со НРС 2024–2044 и СМАРТ/МК:2030</w:t>
            </w:r>
          </w:p>
        </w:tc>
        <w:tc>
          <w:tcPr>
            <w:tcW w:w="1975" w:type="dxa"/>
            <w:shd w:val="clear" w:color="auto" w:fill="4472C4"/>
            <w:vAlign w:val="center"/>
          </w:tcPr>
          <w:p w14:paraId="7E1B0995"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Очекуван ефект</w:t>
            </w:r>
          </w:p>
        </w:tc>
      </w:tr>
      <w:tr w:rsidR="00FE200F" w14:paraId="34B193C1" w14:textId="77777777">
        <w:trPr>
          <w:cantSplit/>
        </w:trPr>
        <w:tc>
          <w:tcPr>
            <w:tcW w:w="1933" w:type="dxa"/>
            <w:shd w:val="clear" w:color="auto" w:fill="F7F9FC"/>
            <w:vAlign w:val="center"/>
          </w:tcPr>
          <w:p w14:paraId="64602DF8" w14:textId="77777777" w:rsidR="00FE200F" w:rsidRDefault="00E77CAF">
            <w:pPr>
              <w:spacing w:line="228" w:lineRule="auto"/>
              <w:rPr>
                <w:rFonts w:ascii="Times New Roman" w:hAnsi="Times New Roman" w:cs="Times New Roman"/>
                <w:bCs/>
                <w:sz w:val="16"/>
                <w:szCs w:val="16"/>
              </w:rPr>
            </w:pPr>
            <w:r>
              <w:rPr>
                <w:rFonts w:ascii="Times New Roman" w:eastAsia="Arial" w:hAnsi="Times New Roman" w:cs="Times New Roman"/>
                <w:b/>
                <w:sz w:val="16"/>
                <w:szCs w:val="16"/>
              </w:rPr>
              <w:t xml:space="preserve">1. </w:t>
            </w:r>
            <w:r>
              <w:rPr>
                <w:rFonts w:ascii="Times New Roman" w:eastAsia="Arial" w:hAnsi="Times New Roman" w:cs="Times New Roman"/>
                <w:b/>
                <w:sz w:val="16"/>
                <w:szCs w:val="16"/>
              </w:rPr>
              <w:t>Јавен сектор</w:t>
            </w:r>
            <w:r>
              <w:rPr>
                <w:rFonts w:ascii="Times New Roman" w:hAnsi="Times New Roman" w:cs="Times New Roman"/>
                <w:bCs/>
                <w:sz w:val="16"/>
                <w:szCs w:val="16"/>
              </w:rPr>
              <w:br/>
            </w:r>
            <w:r>
              <w:rPr>
                <w:rFonts w:ascii="Times New Roman" w:eastAsia="Arial" w:hAnsi="Times New Roman" w:cs="Times New Roman"/>
                <w:bCs/>
                <w:sz w:val="16"/>
                <w:szCs w:val="16"/>
              </w:rPr>
              <w:t>Општа цел: дигитални услуги со ВИ, ефикасност и квалитет</w:t>
            </w:r>
          </w:p>
        </w:tc>
        <w:tc>
          <w:tcPr>
            <w:tcW w:w="2375" w:type="dxa"/>
            <w:shd w:val="clear" w:color="auto" w:fill="FFFFFF"/>
            <w:vAlign w:val="center"/>
          </w:tcPr>
          <w:p w14:paraId="58D07A4E" w14:textId="77777777" w:rsidR="00FE200F" w:rsidRDefault="00E77CAF">
            <w:pPr>
              <w:spacing w:line="228" w:lineRule="auto"/>
              <w:rPr>
                <w:rFonts w:ascii="Times New Roman" w:hAnsi="Times New Roman" w:cs="Times New Roman"/>
                <w:bCs/>
                <w:sz w:val="16"/>
                <w:szCs w:val="16"/>
              </w:rPr>
            </w:pPr>
            <w:r>
              <w:rPr>
                <w:rFonts w:ascii="Times New Roman" w:eastAsia="Arial" w:hAnsi="Times New Roman" w:cs="Times New Roman"/>
                <w:bCs/>
                <w:sz w:val="16"/>
                <w:szCs w:val="16"/>
              </w:rPr>
              <w:t>Ја адресира институционалната фрагментација и ниската практична примена на ВИ во јавните услуги.</w:t>
            </w:r>
          </w:p>
        </w:tc>
        <w:tc>
          <w:tcPr>
            <w:tcW w:w="2346" w:type="dxa"/>
            <w:shd w:val="clear" w:color="auto" w:fill="F7F9FC"/>
            <w:vAlign w:val="center"/>
          </w:tcPr>
          <w:p w14:paraId="50F0DBCD" w14:textId="77777777" w:rsidR="00FE200F" w:rsidRDefault="00E77CAF">
            <w:pPr>
              <w:spacing w:line="228" w:lineRule="auto"/>
              <w:rPr>
                <w:rFonts w:ascii="Times New Roman" w:hAnsi="Times New Roman" w:cs="Times New Roman"/>
                <w:bCs/>
                <w:sz w:val="16"/>
                <w:szCs w:val="16"/>
              </w:rPr>
            </w:pPr>
            <w:r>
              <w:rPr>
                <w:rFonts w:ascii="Times New Roman" w:eastAsia="Arial" w:hAnsi="Times New Roman" w:cs="Times New Roman"/>
                <w:bCs/>
                <w:sz w:val="16"/>
                <w:szCs w:val="16"/>
              </w:rPr>
              <w:t>НРС: Владеење на правото и добро управување; Дигитализација.</w:t>
            </w:r>
            <w:r>
              <w:rPr>
                <w:rFonts w:ascii="Times New Roman" w:hAnsi="Times New Roman" w:cs="Times New Roman"/>
                <w:bCs/>
                <w:sz w:val="16"/>
                <w:szCs w:val="16"/>
              </w:rPr>
              <w:br/>
            </w:r>
            <w:r>
              <w:rPr>
                <w:rFonts w:ascii="Times New Roman" w:eastAsia="Arial" w:hAnsi="Times New Roman" w:cs="Times New Roman"/>
                <w:bCs/>
                <w:sz w:val="16"/>
                <w:szCs w:val="16"/>
              </w:rPr>
              <w:t>СМАРТ/МК:2030: Приоритетна о</w:t>
            </w:r>
            <w:r>
              <w:rPr>
                <w:rFonts w:ascii="Times New Roman" w:eastAsia="Arial" w:hAnsi="Times New Roman" w:cs="Times New Roman"/>
                <w:bCs/>
                <w:sz w:val="16"/>
                <w:szCs w:val="16"/>
              </w:rPr>
              <w:t>бласт 3 – Е-Владеење; Приоритетна област 2 – Дигитални компетенции.</w:t>
            </w:r>
          </w:p>
        </w:tc>
        <w:tc>
          <w:tcPr>
            <w:tcW w:w="1975" w:type="dxa"/>
            <w:shd w:val="clear" w:color="auto" w:fill="FFFFFF"/>
            <w:vAlign w:val="center"/>
          </w:tcPr>
          <w:p w14:paraId="432D1CAB" w14:textId="77777777" w:rsidR="00FE200F" w:rsidRDefault="00E77CAF">
            <w:pPr>
              <w:spacing w:line="228" w:lineRule="auto"/>
              <w:rPr>
                <w:rFonts w:ascii="Times New Roman" w:hAnsi="Times New Roman" w:cs="Times New Roman"/>
                <w:bCs/>
                <w:sz w:val="16"/>
                <w:szCs w:val="16"/>
              </w:rPr>
            </w:pPr>
            <w:r>
              <w:rPr>
                <w:rFonts w:ascii="Times New Roman" w:eastAsia="Arial" w:hAnsi="Times New Roman" w:cs="Times New Roman"/>
                <w:bCs/>
                <w:sz w:val="16"/>
                <w:szCs w:val="16"/>
              </w:rPr>
              <w:t>Поголемо усвојување на ВИ во јавниот сектор, поефикасни услуги и зголемен GARI Public Sector Adoption.</w:t>
            </w:r>
          </w:p>
        </w:tc>
      </w:tr>
      <w:tr w:rsidR="00FE200F" w14:paraId="25D5BF7C" w14:textId="77777777">
        <w:trPr>
          <w:cantSplit/>
        </w:trPr>
        <w:tc>
          <w:tcPr>
            <w:tcW w:w="1933" w:type="dxa"/>
            <w:shd w:val="clear" w:color="auto" w:fill="F7F9FC"/>
            <w:vAlign w:val="center"/>
          </w:tcPr>
          <w:p w14:paraId="1B7E1F78" w14:textId="77777777" w:rsidR="00FE200F" w:rsidRDefault="00E77CAF">
            <w:pPr>
              <w:spacing w:line="228" w:lineRule="auto"/>
              <w:rPr>
                <w:rFonts w:ascii="Times New Roman" w:hAnsi="Times New Roman" w:cs="Times New Roman"/>
                <w:bCs/>
                <w:sz w:val="16"/>
                <w:szCs w:val="16"/>
              </w:rPr>
            </w:pPr>
            <w:r>
              <w:rPr>
                <w:rFonts w:ascii="Times New Roman" w:eastAsia="Arial" w:hAnsi="Times New Roman" w:cs="Times New Roman"/>
                <w:b/>
                <w:sz w:val="16"/>
                <w:szCs w:val="16"/>
              </w:rPr>
              <w:lastRenderedPageBreak/>
              <w:t>2. Економија и индустрија</w:t>
            </w:r>
            <w:r>
              <w:rPr>
                <w:rFonts w:ascii="Times New Roman" w:hAnsi="Times New Roman" w:cs="Times New Roman"/>
                <w:bCs/>
                <w:sz w:val="16"/>
                <w:szCs w:val="16"/>
              </w:rPr>
              <w:br/>
            </w:r>
            <w:r>
              <w:rPr>
                <w:rFonts w:ascii="Times New Roman" w:eastAsia="Arial" w:hAnsi="Times New Roman" w:cs="Times New Roman"/>
                <w:bCs/>
                <w:sz w:val="16"/>
                <w:szCs w:val="16"/>
              </w:rPr>
              <w:t>Општа цел: продуктивност, МСП, индустриски ВИ решенија и и</w:t>
            </w:r>
            <w:r>
              <w:rPr>
                <w:rFonts w:ascii="Times New Roman" w:eastAsia="Arial" w:hAnsi="Times New Roman" w:cs="Times New Roman"/>
                <w:bCs/>
                <w:sz w:val="16"/>
                <w:szCs w:val="16"/>
              </w:rPr>
              <w:t>новации</w:t>
            </w:r>
          </w:p>
        </w:tc>
        <w:tc>
          <w:tcPr>
            <w:tcW w:w="2375" w:type="dxa"/>
            <w:shd w:val="clear" w:color="auto" w:fill="FFFFFF"/>
            <w:vAlign w:val="center"/>
          </w:tcPr>
          <w:p w14:paraId="5089F597" w14:textId="77777777" w:rsidR="00FE200F" w:rsidRDefault="00E77CAF">
            <w:pPr>
              <w:spacing w:line="228" w:lineRule="auto"/>
              <w:rPr>
                <w:rFonts w:ascii="Times New Roman" w:hAnsi="Times New Roman" w:cs="Times New Roman"/>
                <w:bCs/>
                <w:sz w:val="16"/>
                <w:szCs w:val="16"/>
              </w:rPr>
            </w:pPr>
            <w:r>
              <w:rPr>
                <w:rFonts w:ascii="Times New Roman" w:eastAsia="Arial" w:hAnsi="Times New Roman" w:cs="Times New Roman"/>
                <w:bCs/>
                <w:sz w:val="16"/>
                <w:szCs w:val="16"/>
              </w:rPr>
              <w:t>Ја адресира ограничената ВИ примена кај МСП и потребата од стартапи, СДИ и секторски иновации.</w:t>
            </w:r>
          </w:p>
        </w:tc>
        <w:tc>
          <w:tcPr>
            <w:tcW w:w="2346" w:type="dxa"/>
            <w:shd w:val="clear" w:color="auto" w:fill="F7F9FC"/>
            <w:vAlign w:val="center"/>
          </w:tcPr>
          <w:p w14:paraId="579F8822" w14:textId="77777777" w:rsidR="00FE200F" w:rsidRDefault="00E77CAF">
            <w:pPr>
              <w:spacing w:line="228" w:lineRule="auto"/>
              <w:rPr>
                <w:rFonts w:ascii="Times New Roman" w:hAnsi="Times New Roman" w:cs="Times New Roman"/>
                <w:bCs/>
                <w:sz w:val="16"/>
                <w:szCs w:val="16"/>
              </w:rPr>
            </w:pPr>
            <w:r>
              <w:rPr>
                <w:rFonts w:ascii="Times New Roman" w:eastAsia="Arial" w:hAnsi="Times New Roman" w:cs="Times New Roman"/>
                <w:bCs/>
                <w:sz w:val="16"/>
                <w:szCs w:val="16"/>
              </w:rPr>
              <w:t>НРС: Одржлива, иновативна и конкурентна економија; Дигитализација; Зелена трансформација.</w:t>
            </w:r>
            <w:r>
              <w:rPr>
                <w:rFonts w:ascii="Times New Roman" w:hAnsi="Times New Roman" w:cs="Times New Roman"/>
                <w:bCs/>
                <w:sz w:val="16"/>
                <w:szCs w:val="16"/>
              </w:rPr>
              <w:br/>
            </w:r>
            <w:r>
              <w:rPr>
                <w:rFonts w:ascii="Times New Roman" w:eastAsia="Arial" w:hAnsi="Times New Roman" w:cs="Times New Roman"/>
                <w:bCs/>
                <w:sz w:val="16"/>
                <w:szCs w:val="16"/>
              </w:rPr>
              <w:t xml:space="preserve">СМАРТ/МК:2030: Приоритетна област 4 – Бизниси, иновации, нови </w:t>
            </w:r>
            <w:r>
              <w:rPr>
                <w:rFonts w:ascii="Times New Roman" w:eastAsia="Arial" w:hAnsi="Times New Roman" w:cs="Times New Roman"/>
                <w:bCs/>
                <w:sz w:val="16"/>
                <w:szCs w:val="16"/>
              </w:rPr>
              <w:t>технологии и ВИ.</w:t>
            </w:r>
          </w:p>
        </w:tc>
        <w:tc>
          <w:tcPr>
            <w:tcW w:w="1975" w:type="dxa"/>
            <w:shd w:val="clear" w:color="auto" w:fill="FFFFFF"/>
            <w:vAlign w:val="center"/>
          </w:tcPr>
          <w:p w14:paraId="1E3657DF" w14:textId="77777777" w:rsidR="00FE200F" w:rsidRDefault="00E77CAF">
            <w:pPr>
              <w:spacing w:line="228" w:lineRule="auto"/>
              <w:rPr>
                <w:rFonts w:ascii="Times New Roman" w:hAnsi="Times New Roman" w:cs="Times New Roman"/>
                <w:bCs/>
                <w:sz w:val="16"/>
                <w:szCs w:val="16"/>
              </w:rPr>
            </w:pPr>
            <w:r>
              <w:rPr>
                <w:rFonts w:ascii="Times New Roman" w:eastAsia="Arial" w:hAnsi="Times New Roman" w:cs="Times New Roman"/>
                <w:bCs/>
                <w:sz w:val="16"/>
                <w:szCs w:val="16"/>
              </w:rPr>
              <w:t>Поголема продуктивност и конкурентност; подобрен GARI Development &amp; Diffusion.</w:t>
            </w:r>
          </w:p>
        </w:tc>
      </w:tr>
      <w:tr w:rsidR="00FE200F" w14:paraId="485B623E" w14:textId="77777777">
        <w:trPr>
          <w:cantSplit/>
        </w:trPr>
        <w:tc>
          <w:tcPr>
            <w:tcW w:w="1933" w:type="dxa"/>
            <w:shd w:val="clear" w:color="auto" w:fill="F7F9FC"/>
            <w:vAlign w:val="center"/>
          </w:tcPr>
          <w:p w14:paraId="141FB7BD" w14:textId="77777777" w:rsidR="00FE200F" w:rsidRDefault="00E77CAF">
            <w:pPr>
              <w:spacing w:line="228" w:lineRule="auto"/>
              <w:rPr>
                <w:rFonts w:ascii="Times New Roman" w:hAnsi="Times New Roman" w:cs="Times New Roman"/>
                <w:bCs/>
                <w:sz w:val="16"/>
                <w:szCs w:val="16"/>
              </w:rPr>
            </w:pPr>
            <w:r>
              <w:rPr>
                <w:rFonts w:ascii="Times New Roman" w:eastAsia="Arial" w:hAnsi="Times New Roman" w:cs="Times New Roman"/>
                <w:b/>
                <w:sz w:val="16"/>
                <w:szCs w:val="16"/>
              </w:rPr>
              <w:t>3. Образование и наука</w:t>
            </w:r>
            <w:r>
              <w:rPr>
                <w:rFonts w:ascii="Times New Roman" w:hAnsi="Times New Roman" w:cs="Times New Roman"/>
                <w:bCs/>
                <w:sz w:val="16"/>
                <w:szCs w:val="16"/>
              </w:rPr>
              <w:br/>
            </w:r>
            <w:r>
              <w:rPr>
                <w:rFonts w:ascii="Times New Roman" w:eastAsia="Arial" w:hAnsi="Times New Roman" w:cs="Times New Roman"/>
                <w:bCs/>
                <w:sz w:val="16"/>
                <w:szCs w:val="16"/>
              </w:rPr>
              <w:t>Општа цел: ВИ компетенции, истражување и задржување таленти</w:t>
            </w:r>
          </w:p>
        </w:tc>
        <w:tc>
          <w:tcPr>
            <w:tcW w:w="2375" w:type="dxa"/>
            <w:shd w:val="clear" w:color="auto" w:fill="FFFFFF"/>
            <w:vAlign w:val="center"/>
          </w:tcPr>
          <w:p w14:paraId="1FD89046" w14:textId="77777777" w:rsidR="00FE200F" w:rsidRDefault="00E77CAF">
            <w:pPr>
              <w:spacing w:line="228" w:lineRule="auto"/>
              <w:rPr>
                <w:rFonts w:ascii="Times New Roman" w:hAnsi="Times New Roman" w:cs="Times New Roman"/>
                <w:bCs/>
                <w:sz w:val="16"/>
                <w:szCs w:val="16"/>
              </w:rPr>
            </w:pPr>
            <w:r>
              <w:rPr>
                <w:rFonts w:ascii="Times New Roman" w:eastAsia="Arial" w:hAnsi="Times New Roman" w:cs="Times New Roman"/>
                <w:bCs/>
                <w:sz w:val="16"/>
                <w:szCs w:val="16"/>
              </w:rPr>
              <w:t>Ја адресира слабата база на ВИ вештини, brain drain и недоволните истражувач</w:t>
            </w:r>
            <w:r>
              <w:rPr>
                <w:rFonts w:ascii="Times New Roman" w:eastAsia="Arial" w:hAnsi="Times New Roman" w:cs="Times New Roman"/>
                <w:bCs/>
                <w:sz w:val="16"/>
                <w:szCs w:val="16"/>
              </w:rPr>
              <w:t>ки и јазични ресурси.</w:t>
            </w:r>
          </w:p>
        </w:tc>
        <w:tc>
          <w:tcPr>
            <w:tcW w:w="2346" w:type="dxa"/>
            <w:shd w:val="clear" w:color="auto" w:fill="F7F9FC"/>
            <w:vAlign w:val="center"/>
          </w:tcPr>
          <w:p w14:paraId="52239343" w14:textId="77777777" w:rsidR="00FE200F" w:rsidRDefault="00E77CAF">
            <w:pPr>
              <w:spacing w:line="228" w:lineRule="auto"/>
              <w:rPr>
                <w:rFonts w:ascii="Times New Roman" w:hAnsi="Times New Roman" w:cs="Times New Roman"/>
                <w:bCs/>
                <w:sz w:val="16"/>
                <w:szCs w:val="16"/>
              </w:rPr>
            </w:pPr>
            <w:r>
              <w:rPr>
                <w:rFonts w:ascii="Times New Roman" w:eastAsia="Arial" w:hAnsi="Times New Roman" w:cs="Times New Roman"/>
                <w:bCs/>
                <w:sz w:val="16"/>
                <w:szCs w:val="16"/>
              </w:rPr>
              <w:t>НРС: Демографска ревитализација и социјален и културен развој; Одржлива, иновативна и конкурентна економија; Дигитализација.</w:t>
            </w:r>
            <w:r>
              <w:rPr>
                <w:rFonts w:ascii="Times New Roman" w:hAnsi="Times New Roman" w:cs="Times New Roman"/>
                <w:bCs/>
                <w:sz w:val="16"/>
                <w:szCs w:val="16"/>
              </w:rPr>
              <w:br/>
            </w:r>
            <w:r>
              <w:rPr>
                <w:rFonts w:ascii="Times New Roman" w:eastAsia="Arial" w:hAnsi="Times New Roman" w:cs="Times New Roman"/>
                <w:bCs/>
                <w:sz w:val="16"/>
                <w:szCs w:val="16"/>
              </w:rPr>
              <w:t>СМАРТ/МК:2030: Приоритетна област 2 – Дигитални компетенции; Приоритетна област 4 – Бизниси, иновации, нови т</w:t>
            </w:r>
            <w:r>
              <w:rPr>
                <w:rFonts w:ascii="Times New Roman" w:eastAsia="Arial" w:hAnsi="Times New Roman" w:cs="Times New Roman"/>
                <w:bCs/>
                <w:sz w:val="16"/>
                <w:szCs w:val="16"/>
              </w:rPr>
              <w:t>ехнологии и ВИ.</w:t>
            </w:r>
          </w:p>
        </w:tc>
        <w:tc>
          <w:tcPr>
            <w:tcW w:w="1975" w:type="dxa"/>
            <w:shd w:val="clear" w:color="auto" w:fill="FFFFFF"/>
            <w:vAlign w:val="center"/>
          </w:tcPr>
          <w:p w14:paraId="39D55645" w14:textId="77777777" w:rsidR="00FE200F" w:rsidRDefault="00E77CAF">
            <w:pPr>
              <w:spacing w:line="228" w:lineRule="auto"/>
              <w:rPr>
                <w:rFonts w:ascii="Times New Roman" w:hAnsi="Times New Roman" w:cs="Times New Roman"/>
                <w:bCs/>
                <w:sz w:val="16"/>
                <w:szCs w:val="16"/>
              </w:rPr>
            </w:pPr>
            <w:r>
              <w:rPr>
                <w:rFonts w:ascii="Times New Roman" w:eastAsia="Arial" w:hAnsi="Times New Roman" w:cs="Times New Roman"/>
                <w:bCs/>
                <w:sz w:val="16"/>
                <w:szCs w:val="16"/>
              </w:rPr>
              <w:t>Поголем ВИ талент, истражувачки капацитет и достапни македонски LLM/јазични ресурси.</w:t>
            </w:r>
          </w:p>
        </w:tc>
      </w:tr>
      <w:tr w:rsidR="00FE200F" w14:paraId="7DA1D698" w14:textId="77777777">
        <w:trPr>
          <w:cantSplit/>
        </w:trPr>
        <w:tc>
          <w:tcPr>
            <w:tcW w:w="1933" w:type="dxa"/>
            <w:shd w:val="clear" w:color="auto" w:fill="F7F9FC"/>
            <w:vAlign w:val="center"/>
          </w:tcPr>
          <w:p w14:paraId="74D4C1CE" w14:textId="77777777" w:rsidR="00FE200F" w:rsidRDefault="00E77CAF">
            <w:pPr>
              <w:spacing w:line="228" w:lineRule="auto"/>
              <w:rPr>
                <w:rFonts w:ascii="Times New Roman" w:hAnsi="Times New Roman" w:cs="Times New Roman"/>
                <w:bCs/>
                <w:sz w:val="16"/>
                <w:szCs w:val="16"/>
              </w:rPr>
            </w:pPr>
            <w:r>
              <w:rPr>
                <w:rFonts w:ascii="Times New Roman" w:eastAsia="Arial" w:hAnsi="Times New Roman" w:cs="Times New Roman"/>
                <w:b/>
                <w:sz w:val="16"/>
                <w:szCs w:val="16"/>
              </w:rPr>
              <w:t>4. Податоци и инфраструктура</w:t>
            </w:r>
            <w:r>
              <w:rPr>
                <w:rFonts w:ascii="Times New Roman" w:hAnsi="Times New Roman" w:cs="Times New Roman"/>
                <w:bCs/>
                <w:sz w:val="16"/>
                <w:szCs w:val="16"/>
              </w:rPr>
              <w:br/>
            </w:r>
            <w:r>
              <w:rPr>
                <w:rFonts w:ascii="Times New Roman" w:eastAsia="Arial" w:hAnsi="Times New Roman" w:cs="Times New Roman"/>
                <w:bCs/>
                <w:sz w:val="16"/>
                <w:szCs w:val="16"/>
              </w:rPr>
              <w:t>Општа цел: HPC, податоци, безбедност и интероперабилност</w:t>
            </w:r>
          </w:p>
        </w:tc>
        <w:tc>
          <w:tcPr>
            <w:tcW w:w="2375" w:type="dxa"/>
            <w:shd w:val="clear" w:color="auto" w:fill="FFFFFF"/>
            <w:vAlign w:val="center"/>
          </w:tcPr>
          <w:p w14:paraId="211C0183" w14:textId="77777777" w:rsidR="00FE200F" w:rsidRDefault="00E77CAF">
            <w:pPr>
              <w:spacing w:line="228" w:lineRule="auto"/>
              <w:rPr>
                <w:rFonts w:ascii="Times New Roman" w:hAnsi="Times New Roman" w:cs="Times New Roman"/>
                <w:bCs/>
                <w:sz w:val="16"/>
                <w:szCs w:val="16"/>
              </w:rPr>
            </w:pPr>
            <w:r>
              <w:rPr>
                <w:rFonts w:ascii="Times New Roman" w:eastAsia="Arial" w:hAnsi="Times New Roman" w:cs="Times New Roman"/>
                <w:bCs/>
                <w:sz w:val="16"/>
                <w:szCs w:val="16"/>
              </w:rPr>
              <w:t>Ја адресира инфраструктурната празнина, недостигот од ВИ compute кап</w:t>
            </w:r>
            <w:r>
              <w:rPr>
                <w:rFonts w:ascii="Times New Roman" w:eastAsia="Arial" w:hAnsi="Times New Roman" w:cs="Times New Roman"/>
                <w:bCs/>
                <w:sz w:val="16"/>
                <w:szCs w:val="16"/>
              </w:rPr>
              <w:t>ацитет и слабата повторна употреба на податоци.</w:t>
            </w:r>
          </w:p>
        </w:tc>
        <w:tc>
          <w:tcPr>
            <w:tcW w:w="2346" w:type="dxa"/>
            <w:shd w:val="clear" w:color="auto" w:fill="F7F9FC"/>
            <w:vAlign w:val="center"/>
          </w:tcPr>
          <w:p w14:paraId="4A72B3DD" w14:textId="77777777" w:rsidR="00FE200F" w:rsidRDefault="00E77CAF">
            <w:pPr>
              <w:spacing w:line="228" w:lineRule="auto"/>
              <w:rPr>
                <w:rFonts w:ascii="Times New Roman" w:hAnsi="Times New Roman" w:cs="Times New Roman"/>
                <w:bCs/>
                <w:sz w:val="16"/>
                <w:szCs w:val="16"/>
              </w:rPr>
            </w:pPr>
            <w:r>
              <w:rPr>
                <w:rFonts w:ascii="Times New Roman" w:eastAsia="Arial" w:hAnsi="Times New Roman" w:cs="Times New Roman"/>
                <w:bCs/>
                <w:sz w:val="16"/>
                <w:szCs w:val="16"/>
              </w:rPr>
              <w:t>НРС: Дигитализација; Сигурно, безбедно и отпорно општество; Владеење на правото и добро управување.</w:t>
            </w:r>
            <w:r>
              <w:rPr>
                <w:rFonts w:ascii="Times New Roman" w:hAnsi="Times New Roman" w:cs="Times New Roman"/>
                <w:bCs/>
                <w:sz w:val="16"/>
                <w:szCs w:val="16"/>
              </w:rPr>
              <w:br/>
            </w:r>
            <w:r>
              <w:rPr>
                <w:rFonts w:ascii="Times New Roman" w:eastAsia="Arial" w:hAnsi="Times New Roman" w:cs="Times New Roman"/>
                <w:bCs/>
                <w:sz w:val="16"/>
                <w:szCs w:val="16"/>
              </w:rPr>
              <w:t>СМАРТ/МК:2030: Приоритетна област 1 – ИКТ инфраструктура и поврзливост; Приоритетна област 3 – Е-Владеење.</w:t>
            </w:r>
          </w:p>
        </w:tc>
        <w:tc>
          <w:tcPr>
            <w:tcW w:w="1975" w:type="dxa"/>
            <w:shd w:val="clear" w:color="auto" w:fill="FFFFFF"/>
            <w:vAlign w:val="center"/>
          </w:tcPr>
          <w:p w14:paraId="2D6B04BF" w14:textId="77777777" w:rsidR="00FE200F" w:rsidRDefault="00E77CAF">
            <w:pPr>
              <w:spacing w:line="228" w:lineRule="auto"/>
              <w:rPr>
                <w:rFonts w:ascii="Times New Roman" w:hAnsi="Times New Roman" w:cs="Times New Roman"/>
                <w:bCs/>
                <w:sz w:val="16"/>
                <w:szCs w:val="16"/>
              </w:rPr>
            </w:pPr>
            <w:r>
              <w:rPr>
                <w:rFonts w:ascii="Times New Roman" w:eastAsia="Arial" w:hAnsi="Times New Roman" w:cs="Times New Roman"/>
                <w:bCs/>
                <w:sz w:val="16"/>
                <w:szCs w:val="16"/>
              </w:rPr>
              <w:t>П</w:t>
            </w:r>
            <w:r>
              <w:rPr>
                <w:rFonts w:ascii="Times New Roman" w:eastAsia="Arial" w:hAnsi="Times New Roman" w:cs="Times New Roman"/>
                <w:bCs/>
                <w:sz w:val="16"/>
                <w:szCs w:val="16"/>
              </w:rPr>
              <w:t>одобрен GARI AI Infrastructure и Resilience; поголем HPC пристап и квалитетни отворени податоци.</w:t>
            </w:r>
          </w:p>
        </w:tc>
      </w:tr>
      <w:tr w:rsidR="00FE200F" w14:paraId="25443DF5" w14:textId="77777777">
        <w:trPr>
          <w:cantSplit/>
        </w:trPr>
        <w:tc>
          <w:tcPr>
            <w:tcW w:w="1933" w:type="dxa"/>
            <w:shd w:val="clear" w:color="auto" w:fill="F7F9FC"/>
            <w:vAlign w:val="center"/>
          </w:tcPr>
          <w:p w14:paraId="44B282CC" w14:textId="77777777" w:rsidR="00FE200F" w:rsidRDefault="00E77CAF">
            <w:pPr>
              <w:spacing w:line="228" w:lineRule="auto"/>
              <w:rPr>
                <w:rFonts w:ascii="Times New Roman" w:hAnsi="Times New Roman" w:cs="Times New Roman"/>
                <w:bCs/>
                <w:sz w:val="16"/>
                <w:szCs w:val="16"/>
              </w:rPr>
            </w:pPr>
            <w:r>
              <w:rPr>
                <w:rFonts w:ascii="Times New Roman" w:eastAsia="Arial" w:hAnsi="Times New Roman" w:cs="Times New Roman"/>
                <w:b/>
                <w:sz w:val="16"/>
                <w:szCs w:val="16"/>
              </w:rPr>
              <w:t>5. Правна и етичка рамка</w:t>
            </w:r>
            <w:r>
              <w:rPr>
                <w:rFonts w:ascii="Times New Roman" w:hAnsi="Times New Roman" w:cs="Times New Roman"/>
                <w:bCs/>
                <w:sz w:val="16"/>
                <w:szCs w:val="16"/>
              </w:rPr>
              <w:br/>
            </w:r>
            <w:r>
              <w:rPr>
                <w:rFonts w:ascii="Times New Roman" w:eastAsia="Arial" w:hAnsi="Times New Roman" w:cs="Times New Roman"/>
                <w:bCs/>
                <w:sz w:val="16"/>
                <w:szCs w:val="16"/>
              </w:rPr>
              <w:t>Општа цел: усогласување со ЕУ, основни права, надзор и одговорност</w:t>
            </w:r>
          </w:p>
        </w:tc>
        <w:tc>
          <w:tcPr>
            <w:tcW w:w="2375" w:type="dxa"/>
            <w:shd w:val="clear" w:color="auto" w:fill="FFFFFF"/>
            <w:vAlign w:val="center"/>
          </w:tcPr>
          <w:p w14:paraId="0F50B670" w14:textId="77777777" w:rsidR="00FE200F" w:rsidRDefault="00E77CAF">
            <w:pPr>
              <w:spacing w:line="228" w:lineRule="auto"/>
              <w:rPr>
                <w:rFonts w:ascii="Times New Roman" w:hAnsi="Times New Roman" w:cs="Times New Roman"/>
                <w:bCs/>
                <w:sz w:val="16"/>
                <w:szCs w:val="16"/>
              </w:rPr>
            </w:pPr>
            <w:r>
              <w:rPr>
                <w:rFonts w:ascii="Times New Roman" w:eastAsia="Arial" w:hAnsi="Times New Roman" w:cs="Times New Roman"/>
                <w:bCs/>
                <w:sz w:val="16"/>
                <w:szCs w:val="16"/>
              </w:rPr>
              <w:t xml:space="preserve">Ја адресира правната празнина, потребата од надзор и доверлива, </w:t>
            </w:r>
            <w:r>
              <w:rPr>
                <w:rFonts w:ascii="Times New Roman" w:eastAsia="Arial" w:hAnsi="Times New Roman" w:cs="Times New Roman"/>
                <w:bCs/>
                <w:sz w:val="16"/>
                <w:szCs w:val="16"/>
              </w:rPr>
              <w:t>човек-центрична ВИ.</w:t>
            </w:r>
          </w:p>
        </w:tc>
        <w:tc>
          <w:tcPr>
            <w:tcW w:w="2346" w:type="dxa"/>
            <w:shd w:val="clear" w:color="auto" w:fill="F7F9FC"/>
            <w:vAlign w:val="center"/>
          </w:tcPr>
          <w:p w14:paraId="26739080" w14:textId="77777777" w:rsidR="00FE200F" w:rsidRDefault="00E77CAF">
            <w:pPr>
              <w:spacing w:line="228" w:lineRule="auto"/>
              <w:rPr>
                <w:rFonts w:ascii="Times New Roman" w:hAnsi="Times New Roman" w:cs="Times New Roman"/>
                <w:bCs/>
                <w:sz w:val="16"/>
                <w:szCs w:val="16"/>
              </w:rPr>
            </w:pPr>
            <w:r>
              <w:rPr>
                <w:rFonts w:ascii="Times New Roman" w:eastAsia="Arial" w:hAnsi="Times New Roman" w:cs="Times New Roman"/>
                <w:bCs/>
                <w:sz w:val="16"/>
                <w:szCs w:val="16"/>
              </w:rPr>
              <w:t>НРС: Владеење на правото и добро управување; Сигурно, безбедно и отпорно општество; Дигитализација.</w:t>
            </w:r>
            <w:r>
              <w:rPr>
                <w:rFonts w:ascii="Times New Roman" w:hAnsi="Times New Roman" w:cs="Times New Roman"/>
                <w:bCs/>
                <w:sz w:val="16"/>
                <w:szCs w:val="16"/>
              </w:rPr>
              <w:br/>
            </w:r>
            <w:r>
              <w:rPr>
                <w:rFonts w:ascii="Times New Roman" w:eastAsia="Arial" w:hAnsi="Times New Roman" w:cs="Times New Roman"/>
                <w:bCs/>
                <w:sz w:val="16"/>
                <w:szCs w:val="16"/>
              </w:rPr>
              <w:t>СМАРТ/МК:2030: Приоритетна област 3 – Е-Владеење; Приоритетна област 4 – Бизниси, иновации, нови технологии и ВИ.</w:t>
            </w:r>
          </w:p>
        </w:tc>
        <w:tc>
          <w:tcPr>
            <w:tcW w:w="1975" w:type="dxa"/>
            <w:shd w:val="clear" w:color="auto" w:fill="FFFFFF"/>
            <w:vAlign w:val="center"/>
          </w:tcPr>
          <w:p w14:paraId="3A7B3F9D" w14:textId="77777777" w:rsidR="00FE200F" w:rsidRDefault="00E77CAF">
            <w:pPr>
              <w:spacing w:line="228" w:lineRule="auto"/>
              <w:rPr>
                <w:rFonts w:ascii="Times New Roman" w:hAnsi="Times New Roman" w:cs="Times New Roman"/>
                <w:bCs/>
                <w:sz w:val="16"/>
                <w:szCs w:val="16"/>
              </w:rPr>
            </w:pPr>
            <w:r>
              <w:rPr>
                <w:rFonts w:ascii="Times New Roman" w:eastAsia="Arial" w:hAnsi="Times New Roman" w:cs="Times New Roman"/>
                <w:bCs/>
                <w:sz w:val="16"/>
                <w:szCs w:val="16"/>
              </w:rPr>
              <w:t xml:space="preserve">Подобрени GARI Policy </w:t>
            </w:r>
            <w:r>
              <w:rPr>
                <w:rFonts w:ascii="Times New Roman" w:eastAsia="Arial" w:hAnsi="Times New Roman" w:cs="Times New Roman"/>
                <w:bCs/>
                <w:sz w:val="16"/>
                <w:szCs w:val="16"/>
              </w:rPr>
              <w:t>Capacity и Governance; усогласена рамка заснована на ризици и засилен надзор.</w:t>
            </w:r>
          </w:p>
        </w:tc>
      </w:tr>
    </w:tbl>
    <w:p w14:paraId="4609A443" w14:textId="77777777" w:rsidR="00FE200F" w:rsidRDefault="00E77CAF">
      <w:pPr>
        <w:sectPr w:rsidR="00FE200F">
          <w:footerReference w:type="even" r:id="rId12"/>
          <w:footerReference w:type="default" r:id="rId13"/>
          <w:footerReference w:type="first" r:id="rId14"/>
          <w:pgSz w:w="12240" w:h="15840"/>
          <w:pgMar w:top="1440" w:right="1800" w:bottom="1440" w:left="1800" w:header="0" w:footer="720" w:gutter="0"/>
          <w:cols w:space="720"/>
          <w:formProt w:val="0"/>
          <w:titlePg/>
          <w:docGrid w:linePitch="360" w:charSpace="8192"/>
        </w:sectPr>
      </w:pPr>
      <w:r>
        <w:br w:type="page"/>
      </w:r>
    </w:p>
    <w:p w14:paraId="7AEF8A62" w14:textId="77777777" w:rsidR="00FE200F" w:rsidRDefault="00E77CAF">
      <w:pPr>
        <w:pStyle w:val="Heading1"/>
        <w:spacing w:before="0"/>
        <w:jc w:val="center"/>
        <w:rPr>
          <w:rFonts w:ascii="Times New Roman" w:hAnsi="Times New Roman" w:cs="Times New Roman"/>
          <w:color w:val="auto"/>
          <w:sz w:val="22"/>
          <w:szCs w:val="22"/>
          <w:lang w:val="mk-MK"/>
        </w:rPr>
      </w:pPr>
      <w:bookmarkStart w:id="147" w:name="_Toc240630099"/>
      <w:bookmarkStart w:id="148" w:name="_Toc243908042"/>
      <w:r>
        <w:rPr>
          <w:rFonts w:ascii="Times New Roman" w:hAnsi="Times New Roman" w:cs="Times New Roman"/>
          <w:color w:val="auto"/>
          <w:sz w:val="22"/>
          <w:szCs w:val="22"/>
          <w:lang w:val="mk-MK"/>
        </w:rPr>
        <w:lastRenderedPageBreak/>
        <w:t>9</w:t>
      </w:r>
      <w:r>
        <w:rPr>
          <w:rFonts w:ascii="Times New Roman" w:hAnsi="Times New Roman" w:cs="Times New Roman"/>
          <w:color w:val="auto"/>
          <w:sz w:val="22"/>
          <w:szCs w:val="22"/>
        </w:rPr>
        <w:t xml:space="preserve">. </w:t>
      </w:r>
      <w:r>
        <w:rPr>
          <w:rFonts w:ascii="Times New Roman" w:hAnsi="Times New Roman" w:cs="Times New Roman"/>
          <w:color w:val="auto"/>
          <w:sz w:val="22"/>
          <w:szCs w:val="22"/>
          <w:lang w:val="mk-MK"/>
        </w:rPr>
        <w:t>СТРАТЕГИЈА ЗА УПОТРЕБА НА ВЕШТАЧКА ИНТЕЛИГЕНЦИЈА (ВИ) 2027-2032</w:t>
      </w:r>
      <w:bookmarkEnd w:id="147"/>
      <w:bookmarkEnd w:id="148"/>
    </w:p>
    <w:p w14:paraId="529CCEF5" w14:textId="77777777" w:rsidR="00FE200F" w:rsidRDefault="00E77CAF">
      <w:pPr>
        <w:pStyle w:val="Heading1"/>
        <w:spacing w:before="0"/>
        <w:jc w:val="center"/>
        <w:rPr>
          <w:rFonts w:ascii="Times New Roman" w:hAnsi="Times New Roman" w:cs="Times New Roman"/>
          <w:color w:val="auto"/>
          <w:sz w:val="22"/>
          <w:szCs w:val="22"/>
          <w:lang w:val="mk-MK"/>
        </w:rPr>
      </w:pPr>
      <w:bookmarkStart w:id="149" w:name="_Toc240630100"/>
      <w:bookmarkStart w:id="150" w:name="_Toc243908043"/>
      <w:r>
        <w:rPr>
          <w:rFonts w:ascii="Times New Roman" w:hAnsi="Times New Roman" w:cs="Times New Roman"/>
          <w:color w:val="auto"/>
          <w:sz w:val="22"/>
          <w:szCs w:val="22"/>
        </w:rPr>
        <w:t>АКЦИСКИ ПЛАН (2027-2029)</w:t>
      </w:r>
      <w:bookmarkEnd w:id="149"/>
      <w:bookmarkEnd w:id="150"/>
    </w:p>
    <w:p w14:paraId="64BC627F" w14:textId="77777777" w:rsidR="00FE200F" w:rsidRDefault="00FE200F">
      <w:pPr>
        <w:spacing w:after="80" w:line="240" w:lineRule="auto"/>
        <w:rPr>
          <w:rFonts w:ascii="Times New Roman" w:eastAsia="Arial" w:hAnsi="Times New Roman" w:cs="Times New Roman"/>
          <w:lang w:val="mk-MK"/>
        </w:rPr>
      </w:pPr>
    </w:p>
    <w:p w14:paraId="2A1B85A5" w14:textId="77777777" w:rsidR="00FE200F" w:rsidRDefault="00E77CAF">
      <w:pPr>
        <w:jc w:val="both"/>
        <w:rPr>
          <w:rFonts w:ascii="Times New Roman" w:hAnsi="Times New Roman" w:cs="Times New Roman"/>
          <w:lang w:val="mk-MK"/>
        </w:rPr>
      </w:pPr>
      <w:r>
        <w:rPr>
          <w:rFonts w:ascii="Times New Roman" w:hAnsi="Times New Roman" w:cs="Times New Roman"/>
          <w:i/>
        </w:rPr>
        <w:t>Табела</w:t>
      </w:r>
      <w:r>
        <w:rPr>
          <w:rFonts w:ascii="Times New Roman" w:hAnsi="Times New Roman" w:cs="Times New Roman"/>
          <w:i/>
          <w:lang w:val="mk-MK"/>
        </w:rPr>
        <w:t xml:space="preserve"> 1</w:t>
      </w:r>
      <w:r>
        <w:rPr>
          <w:rFonts w:ascii="Times New Roman" w:hAnsi="Times New Roman" w:cs="Times New Roman"/>
          <w:i/>
        </w:rPr>
        <w:t xml:space="preserve">: Поврзаност на посебните цели со наодите од </w:t>
      </w:r>
      <w:r>
        <w:rPr>
          <w:rFonts w:ascii="Times New Roman" w:hAnsi="Times New Roman" w:cs="Times New Roman"/>
          <w:i/>
          <w:lang w:val="mk-MK"/>
        </w:rPr>
        <w:t>анализата</w:t>
      </w:r>
    </w:p>
    <w:tbl>
      <w:tblPr>
        <w:tblStyle w:val="TableGrid"/>
        <w:tblW w:w="16100" w:type="dxa"/>
        <w:tblLayout w:type="fixed"/>
        <w:tblCellMar>
          <w:top w:w="35" w:type="dxa"/>
          <w:left w:w="45" w:type="dxa"/>
          <w:bottom w:w="35" w:type="dxa"/>
          <w:right w:w="45" w:type="dxa"/>
        </w:tblCellMar>
        <w:tblLook w:val="04A0" w:firstRow="1" w:lastRow="0" w:firstColumn="1" w:lastColumn="0" w:noHBand="0" w:noVBand="1"/>
      </w:tblPr>
      <w:tblGrid>
        <w:gridCol w:w="2952"/>
        <w:gridCol w:w="2953"/>
        <w:gridCol w:w="3640"/>
        <w:gridCol w:w="3323"/>
        <w:gridCol w:w="3232"/>
      </w:tblGrid>
      <w:tr w:rsidR="00FE200F" w14:paraId="43941796" w14:textId="77777777">
        <w:tc>
          <w:tcPr>
            <w:tcW w:w="2952" w:type="dxa"/>
            <w:shd w:val="clear" w:color="auto" w:fill="4472C4"/>
            <w:vAlign w:val="center"/>
          </w:tcPr>
          <w:p w14:paraId="7CE2C6CE" w14:textId="77777777" w:rsidR="00FE200F" w:rsidRDefault="00E77CAF">
            <w:pPr>
              <w:spacing w:line="218"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Приоритетна област</w:t>
            </w:r>
          </w:p>
        </w:tc>
        <w:tc>
          <w:tcPr>
            <w:tcW w:w="2953" w:type="dxa"/>
            <w:shd w:val="clear" w:color="auto" w:fill="4472C4"/>
            <w:vAlign w:val="center"/>
          </w:tcPr>
          <w:p w14:paraId="22F1D20F" w14:textId="77777777" w:rsidR="00FE200F" w:rsidRDefault="00E77CAF">
            <w:pPr>
              <w:spacing w:line="218"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Посебна цел и СЦ</w:t>
            </w:r>
          </w:p>
        </w:tc>
        <w:tc>
          <w:tcPr>
            <w:tcW w:w="3640" w:type="dxa"/>
            <w:shd w:val="clear" w:color="auto" w:fill="4472C4"/>
            <w:vAlign w:val="center"/>
          </w:tcPr>
          <w:p w14:paraId="321461A4" w14:textId="77777777" w:rsidR="00FE200F" w:rsidRDefault="00E77CAF">
            <w:pPr>
              <w:spacing w:line="218"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SWOT наоди од Фаза 1</w:t>
            </w:r>
          </w:p>
        </w:tc>
        <w:tc>
          <w:tcPr>
            <w:tcW w:w="3323" w:type="dxa"/>
            <w:shd w:val="clear" w:color="auto" w:fill="4472C4"/>
            <w:vAlign w:val="center"/>
          </w:tcPr>
          <w:p w14:paraId="52F2A266" w14:textId="77777777" w:rsidR="00FE200F" w:rsidRDefault="00E77CAF">
            <w:pPr>
              <w:spacing w:line="218"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PESTLE фактори од Фаза 1</w:t>
            </w:r>
          </w:p>
        </w:tc>
        <w:tc>
          <w:tcPr>
            <w:tcW w:w="3232" w:type="dxa"/>
            <w:shd w:val="clear" w:color="auto" w:fill="4472C4"/>
            <w:vAlign w:val="center"/>
          </w:tcPr>
          <w:p w14:paraId="414D0A62" w14:textId="77777777" w:rsidR="00FE200F" w:rsidRDefault="00E77CAF">
            <w:pPr>
              <w:spacing w:line="218"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GARI 2025 димензија и стратешка логика</w:t>
            </w:r>
          </w:p>
        </w:tc>
      </w:tr>
      <w:tr w:rsidR="00FE200F" w14:paraId="3CC59C0E" w14:textId="77777777">
        <w:trPr>
          <w:cantSplit/>
        </w:trPr>
        <w:tc>
          <w:tcPr>
            <w:tcW w:w="2952" w:type="dxa"/>
            <w:vMerge w:val="restart"/>
            <w:shd w:val="clear" w:color="auto" w:fill="D9EAF7"/>
            <w:vAlign w:val="center"/>
          </w:tcPr>
          <w:p w14:paraId="2359A1FF" w14:textId="77777777" w:rsidR="00FE200F" w:rsidRDefault="00E77CAF">
            <w:pPr>
              <w:spacing w:line="218" w:lineRule="auto"/>
              <w:rPr>
                <w:rFonts w:ascii="Times New Roman" w:hAnsi="Times New Roman" w:cs="Times New Roman"/>
                <w:sz w:val="16"/>
                <w:szCs w:val="16"/>
                <w:lang w:val="mk-MK"/>
              </w:rPr>
            </w:pPr>
            <w:r>
              <w:rPr>
                <w:rFonts w:ascii="Times New Roman" w:eastAsia="Arial" w:hAnsi="Times New Roman" w:cs="Times New Roman"/>
                <w:b/>
                <w:sz w:val="16"/>
                <w:szCs w:val="16"/>
              </w:rPr>
              <w:t>1. Јавен сектор</w:t>
            </w:r>
          </w:p>
          <w:p w14:paraId="40A87892" w14:textId="77777777" w:rsidR="00FE200F" w:rsidRDefault="00FE200F">
            <w:pPr>
              <w:spacing w:line="218" w:lineRule="auto"/>
              <w:rPr>
                <w:rFonts w:ascii="Times New Roman" w:hAnsi="Times New Roman" w:cs="Times New Roman"/>
                <w:sz w:val="16"/>
                <w:szCs w:val="16"/>
                <w:lang w:val="mk-MK"/>
              </w:rPr>
            </w:pPr>
          </w:p>
        </w:tc>
        <w:tc>
          <w:tcPr>
            <w:tcW w:w="2953" w:type="dxa"/>
            <w:shd w:val="clear" w:color="auto" w:fill="D9EAF7"/>
            <w:vAlign w:val="center"/>
          </w:tcPr>
          <w:p w14:paraId="1A265714"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 xml:space="preserve">ПЦ 1.1. Институционална </w:t>
            </w:r>
            <w:r>
              <w:rPr>
                <w:rFonts w:ascii="Times New Roman" w:eastAsia="Arial" w:hAnsi="Times New Roman" w:cs="Times New Roman"/>
                <w:bCs/>
                <w:sz w:val="16"/>
                <w:szCs w:val="16"/>
              </w:rPr>
              <w:t>рамка и координација за ВИ</w:t>
            </w:r>
            <w:r>
              <w:rPr>
                <w:rFonts w:ascii="Times New Roman" w:hAnsi="Times New Roman" w:cs="Times New Roman"/>
                <w:bCs/>
                <w:sz w:val="16"/>
                <w:szCs w:val="16"/>
              </w:rPr>
              <w:br/>
            </w:r>
            <w:r>
              <w:rPr>
                <w:rFonts w:ascii="Times New Roman" w:eastAsia="Arial" w:hAnsi="Times New Roman" w:cs="Times New Roman"/>
                <w:bCs/>
                <w:sz w:val="16"/>
                <w:szCs w:val="16"/>
              </w:rPr>
              <w:t>(СЦ-2)</w:t>
            </w:r>
          </w:p>
        </w:tc>
        <w:tc>
          <w:tcPr>
            <w:tcW w:w="3640" w:type="dxa"/>
            <w:shd w:val="clear" w:color="auto" w:fill="D9EAF7"/>
            <w:vAlign w:val="center"/>
          </w:tcPr>
          <w:p w14:paraId="4BE74C2B"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С3: централизирана институционална структура (МДТ); Сл1: отсуство на Закон за ВИ; Сл2: неефикасност на досегашните ВИ инвестиции; З8: политички дисконтинуитет.</w:t>
            </w:r>
          </w:p>
        </w:tc>
        <w:tc>
          <w:tcPr>
            <w:tcW w:w="3323" w:type="dxa"/>
            <w:shd w:val="clear" w:color="auto" w:fill="D9EAF7"/>
            <w:vAlign w:val="center"/>
          </w:tcPr>
          <w:p w14:paraId="0361E66A"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П1: политичка волја; П2: ЕУ пристапување; П3: ризик од дисконт</w:t>
            </w:r>
            <w:r>
              <w:rPr>
                <w:rFonts w:ascii="Times New Roman" w:eastAsia="Arial" w:hAnsi="Times New Roman" w:cs="Times New Roman"/>
                <w:bCs/>
                <w:sz w:val="16"/>
                <w:szCs w:val="16"/>
              </w:rPr>
              <w:t>инуитет; Л1–Л2: ВИ регулатива и EU AI Act.</w:t>
            </w:r>
          </w:p>
        </w:tc>
        <w:tc>
          <w:tcPr>
            <w:tcW w:w="3232" w:type="dxa"/>
            <w:shd w:val="clear" w:color="auto" w:fill="D9EAF7"/>
            <w:vAlign w:val="center"/>
          </w:tcPr>
          <w:p w14:paraId="5DD12D59"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Policy Capacity 34,50; Governance 45,00. Потребни се јасен мандат, координација и институционална одговорност.</w:t>
            </w:r>
          </w:p>
        </w:tc>
      </w:tr>
      <w:tr w:rsidR="00FE200F" w14:paraId="16DA5478" w14:textId="77777777">
        <w:trPr>
          <w:cantSplit/>
        </w:trPr>
        <w:tc>
          <w:tcPr>
            <w:tcW w:w="2952" w:type="dxa"/>
            <w:vMerge/>
            <w:shd w:val="clear" w:color="auto" w:fill="F7F9FC"/>
            <w:vAlign w:val="center"/>
          </w:tcPr>
          <w:p w14:paraId="04008E12" w14:textId="77777777" w:rsidR="00FE200F" w:rsidRDefault="00FE200F">
            <w:pPr>
              <w:spacing w:line="218" w:lineRule="auto"/>
              <w:rPr>
                <w:rFonts w:ascii="Times New Roman" w:hAnsi="Times New Roman" w:cs="Times New Roman"/>
                <w:sz w:val="16"/>
                <w:szCs w:val="16"/>
              </w:rPr>
            </w:pPr>
          </w:p>
        </w:tc>
        <w:tc>
          <w:tcPr>
            <w:tcW w:w="2953" w:type="dxa"/>
            <w:shd w:val="clear" w:color="auto" w:fill="F7F9FC"/>
            <w:vAlign w:val="center"/>
          </w:tcPr>
          <w:p w14:paraId="2456F8DF"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ПЦ 1.2. Имплементација на ВИ во јавни е-услуги и процеси</w:t>
            </w:r>
            <w:r>
              <w:rPr>
                <w:rFonts w:ascii="Times New Roman" w:hAnsi="Times New Roman" w:cs="Times New Roman"/>
                <w:bCs/>
                <w:sz w:val="16"/>
                <w:szCs w:val="16"/>
              </w:rPr>
              <w:br/>
            </w:r>
            <w:r>
              <w:rPr>
                <w:rFonts w:ascii="Times New Roman" w:eastAsia="Arial" w:hAnsi="Times New Roman" w:cs="Times New Roman"/>
                <w:bCs/>
                <w:sz w:val="16"/>
                <w:szCs w:val="16"/>
              </w:rPr>
              <w:t>(СЦ-5)</w:t>
            </w:r>
          </w:p>
        </w:tc>
        <w:tc>
          <w:tcPr>
            <w:tcW w:w="3640" w:type="dxa"/>
            <w:shd w:val="clear" w:color="auto" w:fill="F7F9FC"/>
            <w:vAlign w:val="center"/>
          </w:tcPr>
          <w:p w14:paraId="37963C8F"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 xml:space="preserve">С7: широкопојасен интернет; Сл2: 48 </w:t>
            </w:r>
            <w:r>
              <w:rPr>
                <w:rFonts w:ascii="Times New Roman" w:eastAsia="Arial" w:hAnsi="Times New Roman" w:cs="Times New Roman"/>
                <w:bCs/>
                <w:sz w:val="16"/>
                <w:szCs w:val="16"/>
              </w:rPr>
              <w:t>неуспешни ВИ проекти; Сл4: ниска дигитална писменост; М3: оптимизација на јавната администрација; З4а: зависност од РЈА.</w:t>
            </w:r>
          </w:p>
        </w:tc>
        <w:tc>
          <w:tcPr>
            <w:tcW w:w="3323" w:type="dxa"/>
            <w:shd w:val="clear" w:color="auto" w:fill="F7F9FC"/>
            <w:vAlign w:val="center"/>
          </w:tcPr>
          <w:p w14:paraId="199E009C"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С2: дигитален јаз; С3: мултијазичност; Т0–Т2: дигитална зрелост и застарени системи; Л3: ЗЗЛП.</w:t>
            </w:r>
          </w:p>
        </w:tc>
        <w:tc>
          <w:tcPr>
            <w:tcW w:w="3232" w:type="dxa"/>
            <w:shd w:val="clear" w:color="auto" w:fill="F7F9FC"/>
            <w:vAlign w:val="center"/>
          </w:tcPr>
          <w:p w14:paraId="5D8A1F29"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Public Sector Adoption 46,55; Governance</w:t>
            </w:r>
            <w:r>
              <w:rPr>
                <w:rFonts w:ascii="Times New Roman" w:eastAsia="Arial" w:hAnsi="Times New Roman" w:cs="Times New Roman"/>
                <w:bCs/>
                <w:sz w:val="16"/>
                <w:szCs w:val="16"/>
              </w:rPr>
              <w:t xml:space="preserve"> 45,00. Фокусот е на безбедно пилотирање, интероперабилност и скалирање.</w:t>
            </w:r>
          </w:p>
        </w:tc>
      </w:tr>
      <w:tr w:rsidR="00FE200F" w14:paraId="657BF138" w14:textId="77777777">
        <w:trPr>
          <w:cantSplit/>
        </w:trPr>
        <w:tc>
          <w:tcPr>
            <w:tcW w:w="2952" w:type="dxa"/>
            <w:vMerge/>
            <w:shd w:val="clear" w:color="auto" w:fill="D9EAF7"/>
            <w:vAlign w:val="center"/>
          </w:tcPr>
          <w:p w14:paraId="50E73AA3" w14:textId="77777777" w:rsidR="00FE200F" w:rsidRDefault="00FE200F">
            <w:pPr>
              <w:spacing w:line="218" w:lineRule="auto"/>
              <w:rPr>
                <w:rFonts w:ascii="Times New Roman" w:hAnsi="Times New Roman" w:cs="Times New Roman"/>
                <w:sz w:val="16"/>
                <w:szCs w:val="16"/>
              </w:rPr>
            </w:pPr>
          </w:p>
        </w:tc>
        <w:tc>
          <w:tcPr>
            <w:tcW w:w="2953" w:type="dxa"/>
            <w:shd w:val="clear" w:color="auto" w:fill="D9EAF7"/>
            <w:vAlign w:val="center"/>
          </w:tcPr>
          <w:p w14:paraId="51C15E26"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ПЦ 1.3. ВИ капацитети и иновативни јавни набавки</w:t>
            </w:r>
            <w:r>
              <w:rPr>
                <w:rFonts w:ascii="Times New Roman" w:hAnsi="Times New Roman" w:cs="Times New Roman"/>
                <w:bCs/>
                <w:sz w:val="16"/>
                <w:szCs w:val="16"/>
              </w:rPr>
              <w:br/>
            </w:r>
            <w:r>
              <w:rPr>
                <w:rFonts w:ascii="Times New Roman" w:eastAsia="Arial" w:hAnsi="Times New Roman" w:cs="Times New Roman"/>
                <w:bCs/>
                <w:sz w:val="16"/>
                <w:szCs w:val="16"/>
              </w:rPr>
              <w:t>(СЦ-2, СЦ-5)</w:t>
            </w:r>
          </w:p>
        </w:tc>
        <w:tc>
          <w:tcPr>
            <w:tcW w:w="3640" w:type="dxa"/>
            <w:shd w:val="clear" w:color="auto" w:fill="D9EAF7"/>
            <w:vAlign w:val="center"/>
          </w:tcPr>
          <w:p w14:paraId="0245B6F8"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 xml:space="preserve">С3: МДТ; С4: академски капацитети; С6/С9: стартапи и EDIH; Сл2: слабости во набавки и имплементација; Сл4: ниска </w:t>
            </w:r>
            <w:r>
              <w:rPr>
                <w:rFonts w:ascii="Times New Roman" w:eastAsia="Arial" w:hAnsi="Times New Roman" w:cs="Times New Roman"/>
                <w:bCs/>
                <w:sz w:val="16"/>
                <w:szCs w:val="16"/>
              </w:rPr>
              <w:t>писменост.</w:t>
            </w:r>
          </w:p>
        </w:tc>
        <w:tc>
          <w:tcPr>
            <w:tcW w:w="3323" w:type="dxa"/>
            <w:shd w:val="clear" w:color="auto" w:fill="D9EAF7"/>
            <w:vAlign w:val="center"/>
          </w:tcPr>
          <w:p w14:paraId="4788EF6E"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П1: политичка волја; Е1: ИКТ сектор; Е3: VC јаз; С2: дигитален јаз; С4: доверба во институции.</w:t>
            </w:r>
          </w:p>
        </w:tc>
        <w:tc>
          <w:tcPr>
            <w:tcW w:w="3232" w:type="dxa"/>
            <w:shd w:val="clear" w:color="auto" w:fill="D9EAF7"/>
            <w:vAlign w:val="center"/>
          </w:tcPr>
          <w:p w14:paraId="6B5636A9"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Public Sector Adoption 46,55; Development &amp; Diffusion 24,85. Капацитетите и GovTech пристапот се предуслов за реална примена.</w:t>
            </w:r>
          </w:p>
        </w:tc>
      </w:tr>
      <w:tr w:rsidR="00FE200F" w14:paraId="524F2F6A" w14:textId="77777777">
        <w:trPr>
          <w:cantSplit/>
        </w:trPr>
        <w:tc>
          <w:tcPr>
            <w:tcW w:w="2952" w:type="dxa"/>
            <w:vMerge w:val="restart"/>
            <w:shd w:val="clear" w:color="auto" w:fill="F7F9FC"/>
            <w:vAlign w:val="center"/>
          </w:tcPr>
          <w:p w14:paraId="5EE1ECE6" w14:textId="77777777" w:rsidR="00FE200F" w:rsidRDefault="00E77CAF">
            <w:pPr>
              <w:spacing w:line="218" w:lineRule="auto"/>
              <w:rPr>
                <w:rFonts w:ascii="Times New Roman" w:hAnsi="Times New Roman" w:cs="Times New Roman"/>
                <w:sz w:val="16"/>
                <w:szCs w:val="16"/>
                <w:lang w:val="mk-MK"/>
              </w:rPr>
            </w:pPr>
            <w:r>
              <w:rPr>
                <w:rFonts w:ascii="Times New Roman" w:eastAsia="Arial" w:hAnsi="Times New Roman" w:cs="Times New Roman"/>
                <w:b/>
                <w:sz w:val="16"/>
                <w:szCs w:val="16"/>
              </w:rPr>
              <w:t xml:space="preserve">2. Економија и </w:t>
            </w:r>
            <w:r>
              <w:rPr>
                <w:rFonts w:ascii="Times New Roman" w:eastAsia="Arial" w:hAnsi="Times New Roman" w:cs="Times New Roman"/>
                <w:b/>
                <w:sz w:val="16"/>
                <w:szCs w:val="16"/>
                <w:lang w:val="mk-MK"/>
              </w:rPr>
              <w:t>иновации</w:t>
            </w:r>
          </w:p>
        </w:tc>
        <w:tc>
          <w:tcPr>
            <w:tcW w:w="2953" w:type="dxa"/>
            <w:shd w:val="clear" w:color="auto" w:fill="F7F9FC"/>
            <w:vAlign w:val="center"/>
          </w:tcPr>
          <w:p w14:paraId="1C4A218D"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ПЦ 2.1. Конкурентност и продуктивност на МСП преку ВИ</w:t>
            </w:r>
            <w:r>
              <w:rPr>
                <w:rFonts w:ascii="Times New Roman" w:hAnsi="Times New Roman" w:cs="Times New Roman"/>
                <w:bCs/>
                <w:sz w:val="16"/>
                <w:szCs w:val="16"/>
              </w:rPr>
              <w:br/>
            </w:r>
            <w:r>
              <w:rPr>
                <w:rFonts w:ascii="Times New Roman" w:eastAsia="Arial" w:hAnsi="Times New Roman" w:cs="Times New Roman"/>
                <w:bCs/>
                <w:sz w:val="16"/>
                <w:szCs w:val="16"/>
              </w:rPr>
              <w:t>(СЦ-4)</w:t>
            </w:r>
          </w:p>
        </w:tc>
        <w:tc>
          <w:tcPr>
            <w:tcW w:w="3640" w:type="dxa"/>
            <w:shd w:val="clear" w:color="auto" w:fill="F7F9FC"/>
            <w:vAlign w:val="center"/>
          </w:tcPr>
          <w:p w14:paraId="62F5EA93"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С1: брзорастечки ИКТ сектор; С6/С9: иновациски хабови; Сл8: ограничен VC; М1: ЕУ фондови; З9: јаз во развој и дифузија.</w:t>
            </w:r>
          </w:p>
        </w:tc>
        <w:tc>
          <w:tcPr>
            <w:tcW w:w="3323" w:type="dxa"/>
            <w:shd w:val="clear" w:color="auto" w:fill="F7F9FC"/>
            <w:vAlign w:val="center"/>
          </w:tcPr>
          <w:p w14:paraId="0F34E6C4"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Е1: раст на ИКТ; Е2: ограничен R&amp;D буџет; Е3: недостаток на фондови за ска</w:t>
            </w:r>
            <w:r>
              <w:rPr>
                <w:rFonts w:ascii="Times New Roman" w:eastAsia="Arial" w:hAnsi="Times New Roman" w:cs="Times New Roman"/>
                <w:bCs/>
                <w:sz w:val="16"/>
                <w:szCs w:val="16"/>
              </w:rPr>
              <w:t>лирање.</w:t>
            </w:r>
          </w:p>
        </w:tc>
        <w:tc>
          <w:tcPr>
            <w:tcW w:w="3232" w:type="dxa"/>
            <w:shd w:val="clear" w:color="auto" w:fill="F7F9FC"/>
            <w:vAlign w:val="center"/>
          </w:tcPr>
          <w:p w14:paraId="7B85AD1D"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Development &amp; Diffusion 24,85. Мерките го зголемуваат усвојувањето на ВИ и апсорпцискиот капацитет на МСП.</w:t>
            </w:r>
          </w:p>
        </w:tc>
      </w:tr>
      <w:tr w:rsidR="00FE200F" w14:paraId="19A62EEB" w14:textId="77777777">
        <w:trPr>
          <w:cantSplit/>
        </w:trPr>
        <w:tc>
          <w:tcPr>
            <w:tcW w:w="2952" w:type="dxa"/>
            <w:vMerge/>
            <w:shd w:val="clear" w:color="auto" w:fill="D9EAF7"/>
            <w:vAlign w:val="center"/>
          </w:tcPr>
          <w:p w14:paraId="42DAD557" w14:textId="77777777" w:rsidR="00FE200F" w:rsidRDefault="00FE200F">
            <w:pPr>
              <w:spacing w:line="218" w:lineRule="auto"/>
              <w:rPr>
                <w:rFonts w:ascii="Times New Roman" w:hAnsi="Times New Roman" w:cs="Times New Roman"/>
                <w:sz w:val="16"/>
                <w:szCs w:val="16"/>
              </w:rPr>
            </w:pPr>
          </w:p>
        </w:tc>
        <w:tc>
          <w:tcPr>
            <w:tcW w:w="2953" w:type="dxa"/>
            <w:shd w:val="clear" w:color="auto" w:fill="D9EAF7"/>
            <w:vAlign w:val="center"/>
          </w:tcPr>
          <w:p w14:paraId="603750A8"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ПЦ 2.2. ВИ стартапи и иновациски екосистем</w:t>
            </w:r>
            <w:r>
              <w:rPr>
                <w:rFonts w:ascii="Times New Roman" w:hAnsi="Times New Roman" w:cs="Times New Roman"/>
                <w:bCs/>
                <w:sz w:val="16"/>
                <w:szCs w:val="16"/>
              </w:rPr>
              <w:br/>
            </w:r>
            <w:r>
              <w:rPr>
                <w:rFonts w:ascii="Times New Roman" w:eastAsia="Arial" w:hAnsi="Times New Roman" w:cs="Times New Roman"/>
                <w:bCs/>
                <w:sz w:val="16"/>
                <w:szCs w:val="16"/>
              </w:rPr>
              <w:t>(СЦ-4)</w:t>
            </w:r>
          </w:p>
        </w:tc>
        <w:tc>
          <w:tcPr>
            <w:tcW w:w="3640" w:type="dxa"/>
            <w:shd w:val="clear" w:color="auto" w:fill="D9EAF7"/>
            <w:vAlign w:val="center"/>
          </w:tcPr>
          <w:p w14:paraId="451E2601"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 xml:space="preserve">С1: ИКТ сектор; С6/С9: стартапи и EDIH; Сл7: јаз академија–индустрија; Сл8: VC јаз; М1 и </w:t>
            </w:r>
            <w:r>
              <w:rPr>
                <w:rFonts w:ascii="Times New Roman" w:eastAsia="Arial" w:hAnsi="Times New Roman" w:cs="Times New Roman"/>
                <w:bCs/>
                <w:sz w:val="16"/>
                <w:szCs w:val="16"/>
              </w:rPr>
              <w:t>М5: ЕУ фондови и С3 ниши.</w:t>
            </w:r>
          </w:p>
        </w:tc>
        <w:tc>
          <w:tcPr>
            <w:tcW w:w="3323" w:type="dxa"/>
            <w:shd w:val="clear" w:color="auto" w:fill="D9EAF7"/>
            <w:vAlign w:val="center"/>
          </w:tcPr>
          <w:p w14:paraId="30A4E090"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Е1: ИКТ раст; Е2: ограничени R&amp;D ресурси; Е3: инвестициски фондови.</w:t>
            </w:r>
          </w:p>
        </w:tc>
        <w:tc>
          <w:tcPr>
            <w:tcW w:w="3232" w:type="dxa"/>
            <w:shd w:val="clear" w:color="auto" w:fill="D9EAF7"/>
            <w:vAlign w:val="center"/>
          </w:tcPr>
          <w:p w14:paraId="4047B2E1"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Development &amp; Diffusion 24,85. Акцелерацијата и капиталот ги адресираат слабата комерцијализација и зрелост на пазарот.</w:t>
            </w:r>
          </w:p>
        </w:tc>
      </w:tr>
      <w:tr w:rsidR="00FE200F" w14:paraId="60A83F98" w14:textId="77777777">
        <w:trPr>
          <w:cantSplit/>
        </w:trPr>
        <w:tc>
          <w:tcPr>
            <w:tcW w:w="2952" w:type="dxa"/>
            <w:vMerge/>
            <w:shd w:val="clear" w:color="auto" w:fill="F7F9FC"/>
            <w:vAlign w:val="center"/>
          </w:tcPr>
          <w:p w14:paraId="1762A44C" w14:textId="77777777" w:rsidR="00FE200F" w:rsidRDefault="00FE200F">
            <w:pPr>
              <w:spacing w:line="218" w:lineRule="auto"/>
              <w:rPr>
                <w:rFonts w:ascii="Times New Roman" w:hAnsi="Times New Roman" w:cs="Times New Roman"/>
                <w:sz w:val="16"/>
                <w:szCs w:val="16"/>
              </w:rPr>
            </w:pPr>
          </w:p>
        </w:tc>
        <w:tc>
          <w:tcPr>
            <w:tcW w:w="2953" w:type="dxa"/>
            <w:shd w:val="clear" w:color="auto" w:fill="F7F9FC"/>
            <w:vAlign w:val="center"/>
          </w:tcPr>
          <w:p w14:paraId="3E45B08E"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 xml:space="preserve">ПЦ 2.3. ВИ инвестиции и секторска </w:t>
            </w:r>
            <w:r>
              <w:rPr>
                <w:rFonts w:ascii="Times New Roman" w:eastAsia="Arial" w:hAnsi="Times New Roman" w:cs="Times New Roman"/>
                <w:bCs/>
                <w:sz w:val="16"/>
                <w:szCs w:val="16"/>
              </w:rPr>
              <w:t>примена</w:t>
            </w:r>
            <w:r>
              <w:rPr>
                <w:rFonts w:ascii="Times New Roman" w:hAnsi="Times New Roman" w:cs="Times New Roman"/>
                <w:bCs/>
                <w:sz w:val="16"/>
                <w:szCs w:val="16"/>
              </w:rPr>
              <w:br/>
            </w:r>
            <w:r>
              <w:rPr>
                <w:rFonts w:ascii="Times New Roman" w:eastAsia="Arial" w:hAnsi="Times New Roman" w:cs="Times New Roman"/>
                <w:bCs/>
                <w:sz w:val="16"/>
                <w:szCs w:val="16"/>
              </w:rPr>
              <w:t>(СЦ-4)</w:t>
            </w:r>
          </w:p>
        </w:tc>
        <w:tc>
          <w:tcPr>
            <w:tcW w:w="3640" w:type="dxa"/>
            <w:shd w:val="clear" w:color="auto" w:fill="F7F9FC"/>
            <w:vAlign w:val="center"/>
          </w:tcPr>
          <w:p w14:paraId="1293133A"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С1: ИКТ сектор; С6: екосистем; М4: ВИ експерти и номади; М5: С3 ниши; М7: зелена ВИ; М8: здравство; З1: регионско заостанување.</w:t>
            </w:r>
          </w:p>
        </w:tc>
        <w:tc>
          <w:tcPr>
            <w:tcW w:w="3323" w:type="dxa"/>
            <w:shd w:val="clear" w:color="auto" w:fill="F7F9FC"/>
            <w:vAlign w:val="center"/>
          </w:tcPr>
          <w:p w14:paraId="2F55512B"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П2: ЕУ пристапување; Е1: ИКТ сектор; Е3: VC јаз; С1: одлив на таленти; Ен1: енергетска ефикасност.</w:t>
            </w:r>
          </w:p>
        </w:tc>
        <w:tc>
          <w:tcPr>
            <w:tcW w:w="3232" w:type="dxa"/>
            <w:shd w:val="clear" w:color="auto" w:fill="F7F9FC"/>
            <w:vAlign w:val="center"/>
          </w:tcPr>
          <w:p w14:paraId="7717A1D4"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 xml:space="preserve">Development &amp; </w:t>
            </w:r>
            <w:r>
              <w:rPr>
                <w:rFonts w:ascii="Times New Roman" w:eastAsia="Arial" w:hAnsi="Times New Roman" w:cs="Times New Roman"/>
                <w:bCs/>
                <w:sz w:val="16"/>
                <w:szCs w:val="16"/>
              </w:rPr>
              <w:t>Diffusion 24,85; AI Infrastructure 41,12. Инвестициите и секторските use cases ја подобруваат дифузијата и конкурентноста.</w:t>
            </w:r>
          </w:p>
        </w:tc>
      </w:tr>
      <w:tr w:rsidR="00FE200F" w14:paraId="5E3F4595" w14:textId="77777777">
        <w:trPr>
          <w:cantSplit/>
        </w:trPr>
        <w:tc>
          <w:tcPr>
            <w:tcW w:w="2952" w:type="dxa"/>
            <w:vMerge w:val="restart"/>
            <w:shd w:val="clear" w:color="auto" w:fill="D9EAF7"/>
            <w:vAlign w:val="center"/>
          </w:tcPr>
          <w:p w14:paraId="319C948B" w14:textId="77777777" w:rsidR="00FE200F" w:rsidRDefault="00FE200F">
            <w:pPr>
              <w:spacing w:line="218" w:lineRule="auto"/>
              <w:rPr>
                <w:rFonts w:ascii="Times New Roman" w:eastAsia="Arial" w:hAnsi="Times New Roman" w:cs="Times New Roman"/>
                <w:b/>
                <w:sz w:val="16"/>
                <w:szCs w:val="16"/>
                <w:lang w:val="mk-MK"/>
              </w:rPr>
            </w:pPr>
          </w:p>
          <w:p w14:paraId="5EFB68AB" w14:textId="77777777" w:rsidR="00FE200F" w:rsidRDefault="00FE200F">
            <w:pPr>
              <w:spacing w:line="218" w:lineRule="auto"/>
              <w:rPr>
                <w:rFonts w:ascii="Times New Roman" w:eastAsia="Arial" w:hAnsi="Times New Roman" w:cs="Times New Roman"/>
                <w:b/>
                <w:sz w:val="16"/>
                <w:szCs w:val="16"/>
                <w:lang w:val="mk-MK"/>
              </w:rPr>
            </w:pPr>
          </w:p>
          <w:p w14:paraId="6DEB4F98" w14:textId="77777777" w:rsidR="00FE200F" w:rsidRDefault="00FE200F">
            <w:pPr>
              <w:spacing w:line="218" w:lineRule="auto"/>
              <w:rPr>
                <w:rFonts w:ascii="Times New Roman" w:eastAsia="Arial" w:hAnsi="Times New Roman" w:cs="Times New Roman"/>
                <w:b/>
                <w:sz w:val="16"/>
                <w:szCs w:val="16"/>
                <w:lang w:val="mk-MK"/>
              </w:rPr>
            </w:pPr>
          </w:p>
          <w:p w14:paraId="77597480" w14:textId="77777777" w:rsidR="00FE200F" w:rsidRDefault="00E77CAF">
            <w:pPr>
              <w:spacing w:line="218" w:lineRule="auto"/>
              <w:rPr>
                <w:rFonts w:ascii="Times New Roman" w:hAnsi="Times New Roman" w:cs="Times New Roman"/>
                <w:sz w:val="16"/>
                <w:szCs w:val="16"/>
                <w:lang w:val="mk-MK"/>
              </w:rPr>
            </w:pPr>
            <w:r>
              <w:rPr>
                <w:rFonts w:ascii="Times New Roman" w:eastAsia="Arial" w:hAnsi="Times New Roman" w:cs="Times New Roman"/>
                <w:b/>
                <w:sz w:val="16"/>
                <w:szCs w:val="16"/>
              </w:rPr>
              <w:t>3. Образование</w:t>
            </w:r>
            <w:r>
              <w:rPr>
                <w:rFonts w:ascii="Times New Roman" w:eastAsia="Arial" w:hAnsi="Times New Roman" w:cs="Times New Roman"/>
                <w:b/>
                <w:sz w:val="16"/>
                <w:szCs w:val="16"/>
                <w:lang w:val="mk-MK"/>
              </w:rPr>
              <w:t xml:space="preserve">, </w:t>
            </w:r>
            <w:r>
              <w:rPr>
                <w:rFonts w:ascii="Times New Roman" w:eastAsia="Arial" w:hAnsi="Times New Roman" w:cs="Times New Roman"/>
                <w:b/>
                <w:sz w:val="16"/>
                <w:szCs w:val="16"/>
              </w:rPr>
              <w:t>наука</w:t>
            </w:r>
            <w:r>
              <w:rPr>
                <w:rFonts w:ascii="Times New Roman" w:eastAsia="Arial" w:hAnsi="Times New Roman" w:cs="Times New Roman"/>
                <w:b/>
                <w:sz w:val="16"/>
                <w:szCs w:val="16"/>
                <w:lang w:val="mk-MK"/>
              </w:rPr>
              <w:t xml:space="preserve"> и истражување</w:t>
            </w:r>
          </w:p>
        </w:tc>
        <w:tc>
          <w:tcPr>
            <w:tcW w:w="2953" w:type="dxa"/>
            <w:shd w:val="clear" w:color="auto" w:fill="D9EAF7"/>
            <w:vAlign w:val="center"/>
          </w:tcPr>
          <w:p w14:paraId="3DD73D20"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ПЦ 3.1. ВИ компетенции во формалното образование</w:t>
            </w:r>
            <w:r>
              <w:rPr>
                <w:rFonts w:ascii="Times New Roman" w:hAnsi="Times New Roman" w:cs="Times New Roman"/>
                <w:bCs/>
                <w:sz w:val="16"/>
                <w:szCs w:val="16"/>
              </w:rPr>
              <w:br/>
            </w:r>
            <w:r>
              <w:rPr>
                <w:rFonts w:ascii="Times New Roman" w:eastAsia="Arial" w:hAnsi="Times New Roman" w:cs="Times New Roman"/>
                <w:bCs/>
                <w:sz w:val="16"/>
                <w:szCs w:val="16"/>
              </w:rPr>
              <w:t>(СЦ-3)</w:t>
            </w:r>
          </w:p>
        </w:tc>
        <w:tc>
          <w:tcPr>
            <w:tcW w:w="3640" w:type="dxa"/>
            <w:shd w:val="clear" w:color="auto" w:fill="D9EAF7"/>
            <w:vAlign w:val="center"/>
          </w:tcPr>
          <w:p w14:paraId="0550BA63"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 xml:space="preserve">С4: академски капацитети; Сл3: одлив </w:t>
            </w:r>
            <w:r>
              <w:rPr>
                <w:rFonts w:ascii="Times New Roman" w:eastAsia="Arial" w:hAnsi="Times New Roman" w:cs="Times New Roman"/>
                <w:bCs/>
                <w:sz w:val="16"/>
                <w:szCs w:val="16"/>
              </w:rPr>
              <w:t>на мозоци; Сл4: ниска дигитална писменост; З4: автоматизација; З7: отпор кон промени.</w:t>
            </w:r>
          </w:p>
        </w:tc>
        <w:tc>
          <w:tcPr>
            <w:tcW w:w="3323" w:type="dxa"/>
            <w:shd w:val="clear" w:color="auto" w:fill="D9EAF7"/>
            <w:vAlign w:val="center"/>
          </w:tcPr>
          <w:p w14:paraId="050B1F91"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С1: brain drain; С2: дигитален јаз; Е4: структурна невработеност.</w:t>
            </w:r>
          </w:p>
        </w:tc>
        <w:tc>
          <w:tcPr>
            <w:tcW w:w="3232" w:type="dxa"/>
            <w:shd w:val="clear" w:color="auto" w:fill="D9EAF7"/>
            <w:vAlign w:val="center"/>
          </w:tcPr>
          <w:p w14:paraId="16C6A89D"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Development &amp; Diffusion 24,85. Формалното образование создава критична маса на ВИ талент.</w:t>
            </w:r>
          </w:p>
        </w:tc>
      </w:tr>
      <w:tr w:rsidR="00FE200F" w14:paraId="6E6CBD72" w14:textId="77777777">
        <w:trPr>
          <w:cantSplit/>
        </w:trPr>
        <w:tc>
          <w:tcPr>
            <w:tcW w:w="2952" w:type="dxa"/>
            <w:vMerge/>
            <w:shd w:val="clear" w:color="auto" w:fill="F7F9FC"/>
            <w:vAlign w:val="center"/>
          </w:tcPr>
          <w:p w14:paraId="3C5D47F6" w14:textId="77777777" w:rsidR="00FE200F" w:rsidRDefault="00FE200F">
            <w:pPr>
              <w:spacing w:line="218" w:lineRule="auto"/>
              <w:rPr>
                <w:rFonts w:ascii="Times New Roman" w:hAnsi="Times New Roman" w:cs="Times New Roman"/>
                <w:sz w:val="16"/>
                <w:szCs w:val="16"/>
              </w:rPr>
            </w:pPr>
          </w:p>
        </w:tc>
        <w:tc>
          <w:tcPr>
            <w:tcW w:w="2953" w:type="dxa"/>
            <w:shd w:val="clear" w:color="auto" w:fill="F7F9FC"/>
            <w:vAlign w:val="center"/>
          </w:tcPr>
          <w:p w14:paraId="619E723F"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 xml:space="preserve">ПЦ 3.2. ВИ </w:t>
            </w:r>
            <w:r>
              <w:rPr>
                <w:rFonts w:ascii="Times New Roman" w:eastAsia="Arial" w:hAnsi="Times New Roman" w:cs="Times New Roman"/>
                <w:bCs/>
                <w:sz w:val="16"/>
                <w:szCs w:val="16"/>
              </w:rPr>
              <w:t>истражување, македонски јазични модели и меѓународна соработка</w:t>
            </w:r>
            <w:r>
              <w:rPr>
                <w:rFonts w:ascii="Times New Roman" w:hAnsi="Times New Roman" w:cs="Times New Roman"/>
                <w:bCs/>
                <w:sz w:val="16"/>
                <w:szCs w:val="16"/>
              </w:rPr>
              <w:br/>
            </w:r>
            <w:r>
              <w:rPr>
                <w:rFonts w:ascii="Times New Roman" w:eastAsia="Arial" w:hAnsi="Times New Roman" w:cs="Times New Roman"/>
                <w:bCs/>
                <w:sz w:val="16"/>
                <w:szCs w:val="16"/>
              </w:rPr>
              <w:t>(СЦ-3, СЦ-4)</w:t>
            </w:r>
          </w:p>
        </w:tc>
        <w:tc>
          <w:tcPr>
            <w:tcW w:w="3640" w:type="dxa"/>
            <w:shd w:val="clear" w:color="auto" w:fill="F7F9FC"/>
            <w:vAlign w:val="center"/>
          </w:tcPr>
          <w:p w14:paraId="1691B87A"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С4: академски капацитети; Сл5: податоци; Сл6: силоси; Сл7: јаз академија–индустрија; М1/М2: фондови и регионална соработка; М6: македонски LLM; З5: Big Tech зависност; З9.</w:t>
            </w:r>
          </w:p>
        </w:tc>
        <w:tc>
          <w:tcPr>
            <w:tcW w:w="3323" w:type="dxa"/>
            <w:shd w:val="clear" w:color="auto" w:fill="F7F9FC"/>
            <w:vAlign w:val="center"/>
          </w:tcPr>
          <w:p w14:paraId="6F5ECEC6"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Е2–Е3: R</w:t>
            </w:r>
            <w:r>
              <w:rPr>
                <w:rFonts w:ascii="Times New Roman" w:eastAsia="Arial" w:hAnsi="Times New Roman" w:cs="Times New Roman"/>
                <w:bCs/>
                <w:sz w:val="16"/>
                <w:szCs w:val="16"/>
              </w:rPr>
              <w:t>&amp;D и VC; С3: мултијазичност; Т1: HPC; Т3: отворени податоци; Л4: авторски права.</w:t>
            </w:r>
          </w:p>
        </w:tc>
        <w:tc>
          <w:tcPr>
            <w:tcW w:w="3232" w:type="dxa"/>
            <w:shd w:val="clear" w:color="auto" w:fill="F7F9FC"/>
            <w:vAlign w:val="center"/>
          </w:tcPr>
          <w:p w14:paraId="232F7373"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Development &amp; Diffusion 24,85; AI Infrastructure 41,12. Локалните јазични ресурси, R&amp;D и HPC се услов за суверен и применлив ВИ екосистем.</w:t>
            </w:r>
          </w:p>
        </w:tc>
      </w:tr>
      <w:tr w:rsidR="00FE200F" w14:paraId="6C15934A" w14:textId="77777777">
        <w:trPr>
          <w:cantSplit/>
        </w:trPr>
        <w:tc>
          <w:tcPr>
            <w:tcW w:w="2952" w:type="dxa"/>
            <w:vMerge/>
            <w:shd w:val="clear" w:color="auto" w:fill="D9EAF7"/>
            <w:vAlign w:val="center"/>
          </w:tcPr>
          <w:p w14:paraId="5CACA0DE" w14:textId="77777777" w:rsidR="00FE200F" w:rsidRDefault="00FE200F">
            <w:pPr>
              <w:spacing w:line="218" w:lineRule="auto"/>
              <w:rPr>
                <w:rFonts w:ascii="Times New Roman" w:hAnsi="Times New Roman" w:cs="Times New Roman"/>
                <w:sz w:val="16"/>
                <w:szCs w:val="16"/>
              </w:rPr>
            </w:pPr>
          </w:p>
        </w:tc>
        <w:tc>
          <w:tcPr>
            <w:tcW w:w="2953" w:type="dxa"/>
            <w:shd w:val="clear" w:color="auto" w:fill="D9EAF7"/>
            <w:vAlign w:val="center"/>
          </w:tcPr>
          <w:p w14:paraId="65A45869"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 xml:space="preserve">ПЦ 3.3. Доживотно учење и </w:t>
            </w:r>
            <w:r>
              <w:rPr>
                <w:rFonts w:ascii="Times New Roman" w:eastAsia="Arial" w:hAnsi="Times New Roman" w:cs="Times New Roman"/>
                <w:bCs/>
                <w:sz w:val="16"/>
                <w:szCs w:val="16"/>
              </w:rPr>
              <w:t>преквалификација за ВИ</w:t>
            </w:r>
            <w:r>
              <w:rPr>
                <w:rFonts w:ascii="Times New Roman" w:hAnsi="Times New Roman" w:cs="Times New Roman"/>
                <w:bCs/>
                <w:sz w:val="16"/>
                <w:szCs w:val="16"/>
              </w:rPr>
              <w:br/>
            </w:r>
            <w:r>
              <w:rPr>
                <w:rFonts w:ascii="Times New Roman" w:eastAsia="Arial" w:hAnsi="Times New Roman" w:cs="Times New Roman"/>
                <w:bCs/>
                <w:sz w:val="16"/>
                <w:szCs w:val="16"/>
              </w:rPr>
              <w:t>(СЦ-3)</w:t>
            </w:r>
          </w:p>
        </w:tc>
        <w:tc>
          <w:tcPr>
            <w:tcW w:w="3640" w:type="dxa"/>
            <w:shd w:val="clear" w:color="auto" w:fill="D9EAF7"/>
            <w:vAlign w:val="center"/>
          </w:tcPr>
          <w:p w14:paraId="6CE0A655"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Сл3: одлив на мозоци; Сл4: ниска писменост; М1: ЕУ фондови; З4: структурна невработеност; З7: отпор.</w:t>
            </w:r>
          </w:p>
        </w:tc>
        <w:tc>
          <w:tcPr>
            <w:tcW w:w="3323" w:type="dxa"/>
            <w:shd w:val="clear" w:color="auto" w:fill="D9EAF7"/>
            <w:vAlign w:val="center"/>
          </w:tcPr>
          <w:p w14:paraId="015A0431"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Е4: ризик од невработеност; С1: brain drain; С2: дигитален јаз.</w:t>
            </w:r>
          </w:p>
        </w:tc>
        <w:tc>
          <w:tcPr>
            <w:tcW w:w="3232" w:type="dxa"/>
            <w:shd w:val="clear" w:color="auto" w:fill="D9EAF7"/>
            <w:vAlign w:val="center"/>
          </w:tcPr>
          <w:p w14:paraId="755F8245"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Development &amp; Diffusion 24,85. Преквалификацијата е одговор н</w:t>
            </w:r>
            <w:r>
              <w:rPr>
                <w:rFonts w:ascii="Times New Roman" w:eastAsia="Arial" w:hAnsi="Times New Roman" w:cs="Times New Roman"/>
                <w:bCs/>
                <w:sz w:val="16"/>
                <w:szCs w:val="16"/>
              </w:rPr>
              <w:t>а ризиците од автоматизација и недостигот од талент.</w:t>
            </w:r>
          </w:p>
        </w:tc>
      </w:tr>
      <w:tr w:rsidR="00FE200F" w14:paraId="44278310" w14:textId="77777777">
        <w:trPr>
          <w:cantSplit/>
        </w:trPr>
        <w:tc>
          <w:tcPr>
            <w:tcW w:w="2952" w:type="dxa"/>
            <w:vMerge w:val="restart"/>
            <w:shd w:val="clear" w:color="auto" w:fill="F7F9FC"/>
            <w:vAlign w:val="center"/>
          </w:tcPr>
          <w:p w14:paraId="12C07DCA" w14:textId="77777777" w:rsidR="00FE200F" w:rsidRDefault="00E77CAF">
            <w:pPr>
              <w:spacing w:line="218" w:lineRule="auto"/>
              <w:rPr>
                <w:rFonts w:ascii="Times New Roman" w:hAnsi="Times New Roman" w:cs="Times New Roman"/>
                <w:sz w:val="16"/>
                <w:szCs w:val="16"/>
              </w:rPr>
            </w:pPr>
            <w:r>
              <w:rPr>
                <w:rFonts w:ascii="Times New Roman" w:eastAsia="Arial" w:hAnsi="Times New Roman" w:cs="Times New Roman"/>
                <w:b/>
                <w:sz w:val="16"/>
                <w:szCs w:val="16"/>
              </w:rPr>
              <w:t>4. Податоци и инфраструктура</w:t>
            </w:r>
          </w:p>
        </w:tc>
        <w:tc>
          <w:tcPr>
            <w:tcW w:w="2953" w:type="dxa"/>
            <w:shd w:val="clear" w:color="auto" w:fill="F7F9FC"/>
            <w:vAlign w:val="center"/>
          </w:tcPr>
          <w:p w14:paraId="7DA66441"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ПЦ 4.1. Дигитална инфраструктура и HPC капацитети</w:t>
            </w:r>
            <w:r>
              <w:rPr>
                <w:rFonts w:ascii="Times New Roman" w:hAnsi="Times New Roman" w:cs="Times New Roman"/>
                <w:bCs/>
                <w:sz w:val="16"/>
                <w:szCs w:val="16"/>
              </w:rPr>
              <w:br/>
            </w:r>
            <w:r>
              <w:rPr>
                <w:rFonts w:ascii="Times New Roman" w:eastAsia="Arial" w:hAnsi="Times New Roman" w:cs="Times New Roman"/>
                <w:bCs/>
                <w:sz w:val="16"/>
                <w:szCs w:val="16"/>
              </w:rPr>
              <w:t>(СЦ-4)</w:t>
            </w:r>
          </w:p>
        </w:tc>
        <w:tc>
          <w:tcPr>
            <w:tcW w:w="3640" w:type="dxa"/>
            <w:shd w:val="clear" w:color="auto" w:fill="F7F9FC"/>
            <w:vAlign w:val="center"/>
          </w:tcPr>
          <w:p w14:paraId="73610274"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 xml:space="preserve">С7: широкопојасен интернет; Сл5: недостаток на национална HPC инфраструктура; М1: ЕУ фондови; М2: регионална </w:t>
            </w:r>
            <w:r>
              <w:rPr>
                <w:rFonts w:ascii="Times New Roman" w:eastAsia="Arial" w:hAnsi="Times New Roman" w:cs="Times New Roman"/>
                <w:bCs/>
                <w:sz w:val="16"/>
                <w:szCs w:val="16"/>
              </w:rPr>
              <w:t>соработка; З5: Big Tech зависност.</w:t>
            </w:r>
          </w:p>
        </w:tc>
        <w:tc>
          <w:tcPr>
            <w:tcW w:w="3323" w:type="dxa"/>
            <w:shd w:val="clear" w:color="auto" w:fill="F7F9FC"/>
            <w:vAlign w:val="center"/>
          </w:tcPr>
          <w:p w14:paraId="6BA80B1B"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Т0: дигитална подготвеност; Т1: недостиг на HPC; Е2: ограничен R&amp;D буџет; Ен1: потрошувачка на енергија.</w:t>
            </w:r>
          </w:p>
        </w:tc>
        <w:tc>
          <w:tcPr>
            <w:tcW w:w="3232" w:type="dxa"/>
            <w:shd w:val="clear" w:color="auto" w:fill="F7F9FC"/>
            <w:vAlign w:val="center"/>
          </w:tcPr>
          <w:p w14:paraId="28BF0B76"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AI Infrastructure 41,12; Resilience 38,98. HPC и суверените капацитети ја намалуваат технолошката зависност.</w:t>
            </w:r>
          </w:p>
        </w:tc>
      </w:tr>
      <w:tr w:rsidR="00FE200F" w14:paraId="5FF4CF58" w14:textId="77777777">
        <w:trPr>
          <w:cantSplit/>
        </w:trPr>
        <w:tc>
          <w:tcPr>
            <w:tcW w:w="2952" w:type="dxa"/>
            <w:vMerge/>
            <w:shd w:val="clear" w:color="auto" w:fill="D9EAF7"/>
            <w:vAlign w:val="center"/>
          </w:tcPr>
          <w:p w14:paraId="3ADBC472" w14:textId="77777777" w:rsidR="00FE200F" w:rsidRDefault="00FE200F">
            <w:pPr>
              <w:spacing w:line="218" w:lineRule="auto"/>
              <w:rPr>
                <w:rFonts w:ascii="Times New Roman" w:hAnsi="Times New Roman" w:cs="Times New Roman"/>
                <w:sz w:val="16"/>
                <w:szCs w:val="16"/>
              </w:rPr>
            </w:pPr>
          </w:p>
        </w:tc>
        <w:tc>
          <w:tcPr>
            <w:tcW w:w="2953" w:type="dxa"/>
            <w:shd w:val="clear" w:color="auto" w:fill="D9EAF7"/>
            <w:vAlign w:val="center"/>
          </w:tcPr>
          <w:p w14:paraId="1C0C15C5"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 xml:space="preserve">ПЦ </w:t>
            </w:r>
            <w:r>
              <w:rPr>
                <w:rFonts w:ascii="Times New Roman" w:eastAsia="Arial" w:hAnsi="Times New Roman" w:cs="Times New Roman"/>
                <w:bCs/>
                <w:sz w:val="16"/>
                <w:szCs w:val="16"/>
              </w:rPr>
              <w:t>4.2. Отворени податоци, интероперабилност и стандарди</w:t>
            </w:r>
            <w:r>
              <w:rPr>
                <w:rFonts w:ascii="Times New Roman" w:hAnsi="Times New Roman" w:cs="Times New Roman"/>
                <w:bCs/>
                <w:sz w:val="16"/>
                <w:szCs w:val="16"/>
              </w:rPr>
              <w:br/>
            </w:r>
            <w:r>
              <w:rPr>
                <w:rFonts w:ascii="Times New Roman" w:eastAsia="Arial" w:hAnsi="Times New Roman" w:cs="Times New Roman"/>
                <w:bCs/>
                <w:sz w:val="16"/>
                <w:szCs w:val="16"/>
              </w:rPr>
              <w:t>(СЦ-4)</w:t>
            </w:r>
          </w:p>
        </w:tc>
        <w:tc>
          <w:tcPr>
            <w:tcW w:w="3640" w:type="dxa"/>
            <w:shd w:val="clear" w:color="auto" w:fill="D9EAF7"/>
            <w:vAlign w:val="center"/>
          </w:tcPr>
          <w:p w14:paraId="16ABDD91"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С5: ЗЗЛП; Сл5: бавно отворање на податоци; Сл6: силоси; М3: јавна администрација; З3: алгоритамска пристрасност.</w:t>
            </w:r>
          </w:p>
        </w:tc>
        <w:tc>
          <w:tcPr>
            <w:tcW w:w="3323" w:type="dxa"/>
            <w:shd w:val="clear" w:color="auto" w:fill="D9EAF7"/>
            <w:vAlign w:val="center"/>
          </w:tcPr>
          <w:p w14:paraId="5A5FC397"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Т2: застарени системи; Т3: квалитет и достапност на податоци; Л3: ЗЗЛП.</w:t>
            </w:r>
          </w:p>
        </w:tc>
        <w:tc>
          <w:tcPr>
            <w:tcW w:w="3232" w:type="dxa"/>
            <w:shd w:val="clear" w:color="auto" w:fill="D9EAF7"/>
            <w:vAlign w:val="center"/>
          </w:tcPr>
          <w:p w14:paraId="26DF4F60"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AI Infrast</w:t>
            </w:r>
            <w:r>
              <w:rPr>
                <w:rFonts w:ascii="Times New Roman" w:eastAsia="Arial" w:hAnsi="Times New Roman" w:cs="Times New Roman"/>
                <w:bCs/>
                <w:sz w:val="16"/>
                <w:szCs w:val="16"/>
              </w:rPr>
              <w:t>ructure 41,12; Development &amp; Diffusion 24,85. Квалитетните податоци се предуслов за безбедни, точни и домашни ВИ решенија.</w:t>
            </w:r>
          </w:p>
        </w:tc>
      </w:tr>
      <w:tr w:rsidR="00FE200F" w14:paraId="3891DE64" w14:textId="77777777">
        <w:trPr>
          <w:cantSplit/>
        </w:trPr>
        <w:tc>
          <w:tcPr>
            <w:tcW w:w="2952" w:type="dxa"/>
            <w:vMerge/>
            <w:shd w:val="clear" w:color="auto" w:fill="F7F9FC"/>
            <w:vAlign w:val="center"/>
          </w:tcPr>
          <w:p w14:paraId="4DC34905" w14:textId="77777777" w:rsidR="00FE200F" w:rsidRDefault="00FE200F">
            <w:pPr>
              <w:spacing w:line="218" w:lineRule="auto"/>
              <w:rPr>
                <w:rFonts w:ascii="Times New Roman" w:hAnsi="Times New Roman" w:cs="Times New Roman"/>
                <w:sz w:val="16"/>
                <w:szCs w:val="16"/>
              </w:rPr>
            </w:pPr>
          </w:p>
        </w:tc>
        <w:tc>
          <w:tcPr>
            <w:tcW w:w="2953" w:type="dxa"/>
            <w:shd w:val="clear" w:color="auto" w:fill="F7F9FC"/>
            <w:vAlign w:val="center"/>
          </w:tcPr>
          <w:p w14:paraId="57D52DCA"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ПЦ 4.3. Сајбер-безбедност и отпорност на ВИ инфраструктурата</w:t>
            </w:r>
            <w:r>
              <w:rPr>
                <w:rFonts w:ascii="Times New Roman" w:hAnsi="Times New Roman" w:cs="Times New Roman"/>
                <w:bCs/>
                <w:sz w:val="16"/>
                <w:szCs w:val="16"/>
              </w:rPr>
              <w:br/>
            </w:r>
            <w:r>
              <w:rPr>
                <w:rFonts w:ascii="Times New Roman" w:eastAsia="Arial" w:hAnsi="Times New Roman" w:cs="Times New Roman"/>
                <w:bCs/>
                <w:sz w:val="16"/>
                <w:szCs w:val="16"/>
              </w:rPr>
              <w:t>(СЦ-6)</w:t>
            </w:r>
          </w:p>
        </w:tc>
        <w:tc>
          <w:tcPr>
            <w:tcW w:w="3640" w:type="dxa"/>
            <w:shd w:val="clear" w:color="auto" w:fill="F7F9FC"/>
            <w:vAlign w:val="center"/>
          </w:tcPr>
          <w:p w14:paraId="284A8A95"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 xml:space="preserve">С3: МДТ; М1: ЕУ фондови; З2: ВИ сајбер-напади и дезинформации; </w:t>
            </w:r>
            <w:r>
              <w:rPr>
                <w:rFonts w:ascii="Times New Roman" w:eastAsia="Arial" w:hAnsi="Times New Roman" w:cs="Times New Roman"/>
                <w:bCs/>
                <w:sz w:val="16"/>
                <w:szCs w:val="16"/>
              </w:rPr>
              <w:t>З5: технолошка зависност.</w:t>
            </w:r>
          </w:p>
        </w:tc>
        <w:tc>
          <w:tcPr>
            <w:tcW w:w="3323" w:type="dxa"/>
            <w:shd w:val="clear" w:color="auto" w:fill="F7F9FC"/>
            <w:vAlign w:val="center"/>
          </w:tcPr>
          <w:p w14:paraId="4EB334B2"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П2: ЕУ пристапување; Т4: сајбер-безбедност; Л2: NIS2; Л3: ЗЗЛП.</w:t>
            </w:r>
          </w:p>
        </w:tc>
        <w:tc>
          <w:tcPr>
            <w:tcW w:w="3232" w:type="dxa"/>
            <w:shd w:val="clear" w:color="auto" w:fill="F7F9FC"/>
            <w:vAlign w:val="center"/>
          </w:tcPr>
          <w:p w14:paraId="4BF95DD7"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Resilience 38,98; Governance 45,00. Сајбер-отпорноста е основа за доверлива ВИ инфраструктура.</w:t>
            </w:r>
          </w:p>
        </w:tc>
      </w:tr>
      <w:tr w:rsidR="00FE200F" w14:paraId="696A90FB" w14:textId="77777777">
        <w:trPr>
          <w:cantSplit/>
        </w:trPr>
        <w:tc>
          <w:tcPr>
            <w:tcW w:w="2952" w:type="dxa"/>
            <w:vMerge w:val="restart"/>
            <w:shd w:val="clear" w:color="auto" w:fill="D9EAF7"/>
            <w:vAlign w:val="center"/>
          </w:tcPr>
          <w:p w14:paraId="4F0D81A3" w14:textId="77777777" w:rsidR="00FE200F" w:rsidRDefault="00E77CAF">
            <w:pPr>
              <w:spacing w:line="218" w:lineRule="auto"/>
              <w:rPr>
                <w:rFonts w:ascii="Times New Roman" w:hAnsi="Times New Roman" w:cs="Times New Roman"/>
                <w:sz w:val="16"/>
                <w:szCs w:val="16"/>
                <w:lang w:val="mk-MK"/>
              </w:rPr>
            </w:pPr>
            <w:r>
              <w:rPr>
                <w:rFonts w:ascii="Times New Roman" w:eastAsia="Arial" w:hAnsi="Times New Roman" w:cs="Times New Roman"/>
                <w:b/>
                <w:sz w:val="16"/>
                <w:szCs w:val="16"/>
              </w:rPr>
              <w:t>5. Правна и етичка рамка</w:t>
            </w:r>
          </w:p>
        </w:tc>
        <w:tc>
          <w:tcPr>
            <w:tcW w:w="2953" w:type="dxa"/>
            <w:shd w:val="clear" w:color="auto" w:fill="D9EAF7"/>
            <w:vAlign w:val="center"/>
          </w:tcPr>
          <w:p w14:paraId="543325DA"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 xml:space="preserve">ПЦ 5.1. Усогласување со EU AI Act и </w:t>
            </w:r>
            <w:r>
              <w:rPr>
                <w:rFonts w:ascii="Times New Roman" w:eastAsia="Arial" w:hAnsi="Times New Roman" w:cs="Times New Roman"/>
                <w:bCs/>
                <w:sz w:val="16"/>
                <w:szCs w:val="16"/>
              </w:rPr>
              <w:t>институционален надзор</w:t>
            </w:r>
            <w:r>
              <w:rPr>
                <w:rFonts w:ascii="Times New Roman" w:hAnsi="Times New Roman" w:cs="Times New Roman"/>
                <w:bCs/>
                <w:sz w:val="16"/>
                <w:szCs w:val="16"/>
              </w:rPr>
              <w:br/>
            </w:r>
            <w:r>
              <w:rPr>
                <w:rFonts w:ascii="Times New Roman" w:eastAsia="Arial" w:hAnsi="Times New Roman" w:cs="Times New Roman"/>
                <w:bCs/>
                <w:sz w:val="16"/>
                <w:szCs w:val="16"/>
              </w:rPr>
              <w:t>(СЦ-1, СЦ-2)</w:t>
            </w:r>
          </w:p>
        </w:tc>
        <w:tc>
          <w:tcPr>
            <w:tcW w:w="3640" w:type="dxa"/>
            <w:shd w:val="clear" w:color="auto" w:fill="D9EAF7"/>
            <w:vAlign w:val="center"/>
          </w:tcPr>
          <w:p w14:paraId="493FFBA7"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С3: МДТ; С5: ЗЗЛП; С8: Governance 45,00; Сл1: нема Закон за ВИ; З3: пристрасност; З6: приватност.</w:t>
            </w:r>
          </w:p>
        </w:tc>
        <w:tc>
          <w:tcPr>
            <w:tcW w:w="3323" w:type="dxa"/>
            <w:shd w:val="clear" w:color="auto" w:fill="D9EAF7"/>
            <w:vAlign w:val="center"/>
          </w:tcPr>
          <w:p w14:paraId="36A61F3E"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П1–П2: политичка волја и ЕУ пристапување; Л1: отсуство на ВИ регулатива; Л2: EU AI Act/NIS2; Л3: ЗЗЛП.</w:t>
            </w:r>
          </w:p>
        </w:tc>
        <w:tc>
          <w:tcPr>
            <w:tcW w:w="3232" w:type="dxa"/>
            <w:shd w:val="clear" w:color="auto" w:fill="D9EAF7"/>
            <w:vAlign w:val="center"/>
          </w:tcPr>
          <w:p w14:paraId="1E0964BE"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Policy Capacity 34,</w:t>
            </w:r>
            <w:r>
              <w:rPr>
                <w:rFonts w:ascii="Times New Roman" w:eastAsia="Arial" w:hAnsi="Times New Roman" w:cs="Times New Roman"/>
                <w:bCs/>
                <w:sz w:val="16"/>
                <w:szCs w:val="16"/>
              </w:rPr>
              <w:t>50; Governance 45,00. Закон и надзорно тело ја пополнуваат клучната регулаторна празнина.</w:t>
            </w:r>
          </w:p>
        </w:tc>
      </w:tr>
      <w:tr w:rsidR="00FE200F" w14:paraId="07F6B6BB" w14:textId="77777777">
        <w:trPr>
          <w:cantSplit/>
        </w:trPr>
        <w:tc>
          <w:tcPr>
            <w:tcW w:w="2952" w:type="dxa"/>
            <w:vMerge/>
            <w:shd w:val="clear" w:color="auto" w:fill="F7F9FC"/>
            <w:vAlign w:val="center"/>
          </w:tcPr>
          <w:p w14:paraId="3848E3B9" w14:textId="77777777" w:rsidR="00FE200F" w:rsidRDefault="00FE200F">
            <w:pPr>
              <w:spacing w:line="218" w:lineRule="auto"/>
              <w:rPr>
                <w:rFonts w:ascii="Times New Roman" w:hAnsi="Times New Roman" w:cs="Times New Roman"/>
                <w:sz w:val="16"/>
                <w:szCs w:val="16"/>
              </w:rPr>
            </w:pPr>
          </w:p>
        </w:tc>
        <w:tc>
          <w:tcPr>
            <w:tcW w:w="2953" w:type="dxa"/>
            <w:shd w:val="clear" w:color="auto" w:fill="F7F9FC"/>
            <w:vAlign w:val="center"/>
          </w:tcPr>
          <w:p w14:paraId="5F54F151"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ПЦ 5.2. Хармонизација на постоечката регулатива со ВИ</w:t>
            </w:r>
            <w:r>
              <w:rPr>
                <w:rFonts w:ascii="Times New Roman" w:hAnsi="Times New Roman" w:cs="Times New Roman"/>
                <w:bCs/>
                <w:sz w:val="16"/>
                <w:szCs w:val="16"/>
              </w:rPr>
              <w:br/>
            </w:r>
            <w:r>
              <w:rPr>
                <w:rFonts w:ascii="Times New Roman" w:eastAsia="Arial" w:hAnsi="Times New Roman" w:cs="Times New Roman"/>
                <w:bCs/>
                <w:sz w:val="16"/>
                <w:szCs w:val="16"/>
              </w:rPr>
              <w:t>(СЦ-1)</w:t>
            </w:r>
          </w:p>
        </w:tc>
        <w:tc>
          <w:tcPr>
            <w:tcW w:w="3640" w:type="dxa"/>
            <w:shd w:val="clear" w:color="auto" w:fill="F7F9FC"/>
            <w:vAlign w:val="center"/>
          </w:tcPr>
          <w:p w14:paraId="58BAAAB5"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С5: ЗЗЛП; С8: Governance 45,00; Сл1: отсуство на Закон за ВИ; З3: пристрасност; З6: приватност.</w:t>
            </w:r>
          </w:p>
        </w:tc>
        <w:tc>
          <w:tcPr>
            <w:tcW w:w="3323" w:type="dxa"/>
            <w:shd w:val="clear" w:color="auto" w:fill="F7F9FC"/>
            <w:vAlign w:val="center"/>
          </w:tcPr>
          <w:p w14:paraId="0C33CC61"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 xml:space="preserve">Л3: </w:t>
            </w:r>
            <w:r>
              <w:rPr>
                <w:rFonts w:ascii="Times New Roman" w:eastAsia="Arial" w:hAnsi="Times New Roman" w:cs="Times New Roman"/>
                <w:bCs/>
                <w:sz w:val="16"/>
                <w:szCs w:val="16"/>
              </w:rPr>
              <w:t>ЗЗЛП; Л4: авторски права; П2: ЕУ пристапување.</w:t>
            </w:r>
          </w:p>
        </w:tc>
        <w:tc>
          <w:tcPr>
            <w:tcW w:w="3232" w:type="dxa"/>
            <w:shd w:val="clear" w:color="auto" w:fill="F7F9FC"/>
            <w:vAlign w:val="center"/>
          </w:tcPr>
          <w:p w14:paraId="3A346AEC"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Governance 45,00; Policy Capacity 34,50. Хармонизацијата обезбедува правна сигурност, човекови права и одговорност.</w:t>
            </w:r>
          </w:p>
        </w:tc>
      </w:tr>
      <w:tr w:rsidR="00FE200F" w14:paraId="31FD11BC" w14:textId="77777777">
        <w:trPr>
          <w:cantSplit/>
        </w:trPr>
        <w:tc>
          <w:tcPr>
            <w:tcW w:w="2952" w:type="dxa"/>
            <w:vMerge/>
            <w:shd w:val="clear" w:color="auto" w:fill="D9EAF7"/>
            <w:vAlign w:val="center"/>
          </w:tcPr>
          <w:p w14:paraId="1ECCD2FE" w14:textId="77777777" w:rsidR="00FE200F" w:rsidRDefault="00FE200F">
            <w:pPr>
              <w:spacing w:line="218" w:lineRule="auto"/>
              <w:rPr>
                <w:rFonts w:ascii="Times New Roman" w:hAnsi="Times New Roman" w:cs="Times New Roman"/>
                <w:sz w:val="16"/>
                <w:szCs w:val="16"/>
              </w:rPr>
            </w:pPr>
          </w:p>
        </w:tc>
        <w:tc>
          <w:tcPr>
            <w:tcW w:w="2953" w:type="dxa"/>
            <w:shd w:val="clear" w:color="auto" w:fill="D9EAF7"/>
            <w:vAlign w:val="center"/>
          </w:tcPr>
          <w:p w14:paraId="32C71073"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ПЦ 5.3. Етички стандарди, Regulatory Sandbox и меѓународна соработка</w:t>
            </w:r>
            <w:r>
              <w:rPr>
                <w:rFonts w:ascii="Times New Roman" w:hAnsi="Times New Roman" w:cs="Times New Roman"/>
                <w:bCs/>
                <w:sz w:val="16"/>
                <w:szCs w:val="16"/>
              </w:rPr>
              <w:br/>
            </w:r>
            <w:r>
              <w:rPr>
                <w:rFonts w:ascii="Times New Roman" w:eastAsia="Arial" w:hAnsi="Times New Roman" w:cs="Times New Roman"/>
                <w:bCs/>
                <w:sz w:val="16"/>
                <w:szCs w:val="16"/>
              </w:rPr>
              <w:t>(СЦ-1, СЦ-6)</w:t>
            </w:r>
          </w:p>
        </w:tc>
        <w:tc>
          <w:tcPr>
            <w:tcW w:w="3640" w:type="dxa"/>
            <w:shd w:val="clear" w:color="auto" w:fill="D9EAF7"/>
            <w:vAlign w:val="center"/>
          </w:tcPr>
          <w:p w14:paraId="19CECBC5"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 xml:space="preserve">С2: </w:t>
            </w:r>
            <w:r>
              <w:rPr>
                <w:rFonts w:ascii="Times New Roman" w:eastAsia="Arial" w:hAnsi="Times New Roman" w:cs="Times New Roman"/>
                <w:bCs/>
                <w:sz w:val="16"/>
                <w:szCs w:val="16"/>
              </w:rPr>
              <w:t>стратешка рамка; С5: ЗЗЛП; С6/С9: иновациски хабови; С8: Governance; Сл1/Сл8: правен и VC јаз; М1/М2/М5; З1/З3/З6/З8.</w:t>
            </w:r>
          </w:p>
        </w:tc>
        <w:tc>
          <w:tcPr>
            <w:tcW w:w="3323" w:type="dxa"/>
            <w:shd w:val="clear" w:color="auto" w:fill="D9EAF7"/>
            <w:vAlign w:val="center"/>
          </w:tcPr>
          <w:p w14:paraId="2D6BFCB0" w14:textId="77777777" w:rsidR="00FE200F" w:rsidRDefault="00E77CAF">
            <w:pPr>
              <w:spacing w:line="218" w:lineRule="auto"/>
              <w:rPr>
                <w:rFonts w:ascii="Times New Roman" w:hAnsi="Times New Roman" w:cs="Times New Roman"/>
                <w:bCs/>
                <w:sz w:val="16"/>
                <w:szCs w:val="16"/>
              </w:rPr>
            </w:pPr>
            <w:r>
              <w:rPr>
                <w:rFonts w:ascii="Times New Roman" w:eastAsia="Arial" w:hAnsi="Times New Roman" w:cs="Times New Roman"/>
                <w:bCs/>
                <w:sz w:val="16"/>
                <w:szCs w:val="16"/>
              </w:rPr>
              <w:t>П2–П3: ЕУ пристапување и континуитет; Е3: VC; С4: доверба; Л1–Л3: правна основа; Т4: сајбер-безбедност.</w:t>
            </w:r>
          </w:p>
        </w:tc>
        <w:tc>
          <w:tcPr>
            <w:tcW w:w="3232" w:type="dxa"/>
            <w:shd w:val="clear" w:color="auto" w:fill="D9EAF7"/>
            <w:vAlign w:val="center"/>
          </w:tcPr>
          <w:p w14:paraId="22C9C7A7" w14:textId="77777777" w:rsidR="00FE200F" w:rsidRDefault="00E77CAF">
            <w:pPr>
              <w:spacing w:line="218" w:lineRule="auto"/>
              <w:rPr>
                <w:rFonts w:ascii="Times New Roman" w:hAnsi="Times New Roman" w:cs="Times New Roman"/>
                <w:bCs/>
                <w:sz w:val="16"/>
                <w:szCs w:val="16"/>
                <w:lang w:val="mk-MK"/>
              </w:rPr>
            </w:pPr>
            <w:r>
              <w:rPr>
                <w:rFonts w:ascii="Times New Roman" w:eastAsia="Arial" w:hAnsi="Times New Roman" w:cs="Times New Roman"/>
                <w:bCs/>
                <w:sz w:val="16"/>
                <w:szCs w:val="16"/>
              </w:rPr>
              <w:t xml:space="preserve">Governance 45,00; Policy Capacity </w:t>
            </w:r>
            <w:r>
              <w:rPr>
                <w:rFonts w:ascii="Times New Roman" w:eastAsia="Arial" w:hAnsi="Times New Roman" w:cs="Times New Roman"/>
                <w:bCs/>
                <w:sz w:val="16"/>
                <w:szCs w:val="16"/>
              </w:rPr>
              <w:t>34,50; Resilience 38,98. Етиката, тестирањето и меѓународната соработка обезбедуваат доверлива иновација.</w:t>
            </w:r>
          </w:p>
        </w:tc>
      </w:tr>
    </w:tbl>
    <w:p w14:paraId="549E1863" w14:textId="77777777" w:rsidR="00FE200F" w:rsidRDefault="00E77CAF">
      <w:pPr>
        <w:spacing w:after="80" w:line="240" w:lineRule="auto"/>
        <w:jc w:val="center"/>
        <w:rPr>
          <w:rFonts w:ascii="Times New Roman" w:hAnsi="Times New Roman" w:cs="Times New Roman"/>
          <w:sz w:val="28"/>
          <w:szCs w:val="28"/>
          <w:lang w:val="mk-MK"/>
        </w:rPr>
      </w:pPr>
      <w:r>
        <w:br w:type="page"/>
      </w:r>
      <w:r>
        <w:rPr>
          <w:rFonts w:ascii="Times New Roman" w:eastAsia="Arial" w:hAnsi="Times New Roman" w:cs="Times New Roman"/>
          <w:b/>
          <w:color w:val="1F4E79"/>
          <w:sz w:val="28"/>
          <w:szCs w:val="28"/>
        </w:rPr>
        <w:lastRenderedPageBreak/>
        <w:t>Акциски план (2027–2029)</w:t>
      </w:r>
    </w:p>
    <w:tbl>
      <w:tblPr>
        <w:tblStyle w:val="TableGrid"/>
        <w:tblW w:w="16000" w:type="dxa"/>
        <w:jc w:val="center"/>
        <w:tblLayout w:type="fixed"/>
        <w:tblCellMar>
          <w:top w:w="60" w:type="dxa"/>
          <w:left w:w="70" w:type="dxa"/>
          <w:bottom w:w="60" w:type="dxa"/>
          <w:right w:w="70" w:type="dxa"/>
        </w:tblCellMar>
        <w:tblLook w:val="04A0" w:firstRow="1" w:lastRow="0" w:firstColumn="1" w:lastColumn="0" w:noHBand="0" w:noVBand="1"/>
      </w:tblPr>
      <w:tblGrid>
        <w:gridCol w:w="1901"/>
        <w:gridCol w:w="3203"/>
        <w:gridCol w:w="1899"/>
        <w:gridCol w:w="1152"/>
        <w:gridCol w:w="1299"/>
        <w:gridCol w:w="1501"/>
        <w:gridCol w:w="1699"/>
        <w:gridCol w:w="3346"/>
      </w:tblGrid>
      <w:tr w:rsidR="00FE200F" w14:paraId="43F6EF0B" w14:textId="77777777">
        <w:trPr>
          <w:cantSplit/>
          <w:tblHeader/>
          <w:jc w:val="center"/>
        </w:trPr>
        <w:tc>
          <w:tcPr>
            <w:tcW w:w="1900" w:type="dxa"/>
            <w:shd w:val="clear" w:color="auto" w:fill="4472C4"/>
            <w:vAlign w:val="center"/>
          </w:tcPr>
          <w:p w14:paraId="501A658E" w14:textId="77777777" w:rsidR="00FE200F" w:rsidRDefault="00E77CAF">
            <w:pPr>
              <w:spacing w:line="216"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Мерки</w:t>
            </w:r>
          </w:p>
        </w:tc>
        <w:tc>
          <w:tcPr>
            <w:tcW w:w="3202" w:type="dxa"/>
            <w:shd w:val="clear" w:color="auto" w:fill="4472C4"/>
            <w:vAlign w:val="center"/>
          </w:tcPr>
          <w:p w14:paraId="1FB6DF64" w14:textId="77777777" w:rsidR="00FE200F" w:rsidRDefault="00E77CAF">
            <w:pPr>
              <w:spacing w:line="216"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Активности</w:t>
            </w:r>
          </w:p>
        </w:tc>
        <w:tc>
          <w:tcPr>
            <w:tcW w:w="1899" w:type="dxa"/>
            <w:shd w:val="clear" w:color="auto" w:fill="4472C4"/>
            <w:vAlign w:val="center"/>
          </w:tcPr>
          <w:p w14:paraId="45A4BAE5" w14:textId="77777777" w:rsidR="00FE200F" w:rsidRDefault="00E77CAF">
            <w:pPr>
              <w:spacing w:line="216"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Водечки орган /</w:t>
            </w:r>
            <w:r>
              <w:rPr>
                <w:rFonts w:ascii="Times New Roman" w:hAnsi="Times New Roman" w:cs="Times New Roman"/>
                <w:sz w:val="16"/>
                <w:szCs w:val="16"/>
              </w:rPr>
              <w:br/>
            </w:r>
            <w:r>
              <w:rPr>
                <w:rFonts w:ascii="Times New Roman" w:eastAsia="Arial" w:hAnsi="Times New Roman" w:cs="Times New Roman"/>
                <w:b/>
                <w:color w:val="FFFFFF"/>
                <w:sz w:val="16"/>
                <w:szCs w:val="16"/>
              </w:rPr>
              <w:t>Други органи</w:t>
            </w:r>
          </w:p>
        </w:tc>
        <w:tc>
          <w:tcPr>
            <w:tcW w:w="1152" w:type="dxa"/>
            <w:shd w:val="clear" w:color="auto" w:fill="4472C4"/>
            <w:vAlign w:val="center"/>
          </w:tcPr>
          <w:p w14:paraId="5BA2CC8A" w14:textId="77777777" w:rsidR="00FE200F" w:rsidRDefault="00E77CAF">
            <w:pPr>
              <w:spacing w:line="216"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Почетен</w:t>
            </w:r>
            <w:r>
              <w:rPr>
                <w:rFonts w:ascii="Times New Roman" w:hAnsi="Times New Roman" w:cs="Times New Roman"/>
                <w:sz w:val="16"/>
                <w:szCs w:val="16"/>
              </w:rPr>
              <w:br/>
            </w:r>
            <w:r>
              <w:rPr>
                <w:rFonts w:ascii="Times New Roman" w:eastAsia="Arial" w:hAnsi="Times New Roman" w:cs="Times New Roman"/>
                <w:b/>
                <w:color w:val="FFFFFF"/>
                <w:sz w:val="16"/>
                <w:szCs w:val="16"/>
              </w:rPr>
              <w:t>датум</w:t>
            </w:r>
            <w:r>
              <w:rPr>
                <w:rFonts w:ascii="Times New Roman" w:hAnsi="Times New Roman" w:cs="Times New Roman"/>
                <w:sz w:val="16"/>
                <w:szCs w:val="16"/>
              </w:rPr>
              <w:br/>
            </w:r>
            <w:r>
              <w:rPr>
                <w:rFonts w:ascii="Times New Roman" w:eastAsia="Arial" w:hAnsi="Times New Roman" w:cs="Times New Roman"/>
                <w:b/>
                <w:color w:val="FFFFFF"/>
                <w:sz w:val="16"/>
                <w:szCs w:val="16"/>
              </w:rPr>
              <w:t>(квартал)</w:t>
            </w:r>
          </w:p>
        </w:tc>
        <w:tc>
          <w:tcPr>
            <w:tcW w:w="1299" w:type="dxa"/>
            <w:shd w:val="clear" w:color="auto" w:fill="4472C4"/>
            <w:vAlign w:val="center"/>
          </w:tcPr>
          <w:p w14:paraId="0F8DB2D0" w14:textId="77777777" w:rsidR="00FE200F" w:rsidRDefault="00E77CAF">
            <w:pPr>
              <w:spacing w:line="216"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Планиран датум на</w:t>
            </w:r>
            <w:r>
              <w:rPr>
                <w:rFonts w:ascii="Times New Roman" w:hAnsi="Times New Roman" w:cs="Times New Roman"/>
                <w:sz w:val="16"/>
                <w:szCs w:val="16"/>
              </w:rPr>
              <w:br/>
            </w:r>
            <w:r>
              <w:rPr>
                <w:rFonts w:ascii="Times New Roman" w:eastAsia="Arial" w:hAnsi="Times New Roman" w:cs="Times New Roman"/>
                <w:b/>
                <w:color w:val="FFFFFF"/>
                <w:sz w:val="16"/>
                <w:szCs w:val="16"/>
              </w:rPr>
              <w:t>извршување</w:t>
            </w:r>
            <w:r>
              <w:rPr>
                <w:rFonts w:ascii="Times New Roman" w:hAnsi="Times New Roman" w:cs="Times New Roman"/>
                <w:sz w:val="16"/>
                <w:szCs w:val="16"/>
              </w:rPr>
              <w:br/>
            </w:r>
            <w:r>
              <w:rPr>
                <w:rFonts w:ascii="Times New Roman" w:eastAsia="Arial" w:hAnsi="Times New Roman" w:cs="Times New Roman"/>
                <w:b/>
                <w:color w:val="FFFFFF"/>
                <w:sz w:val="16"/>
                <w:szCs w:val="16"/>
              </w:rPr>
              <w:t>(квартал)</w:t>
            </w:r>
          </w:p>
        </w:tc>
        <w:tc>
          <w:tcPr>
            <w:tcW w:w="1501" w:type="dxa"/>
            <w:shd w:val="clear" w:color="auto" w:fill="4472C4"/>
            <w:vAlign w:val="center"/>
          </w:tcPr>
          <w:p w14:paraId="4A117F86" w14:textId="77777777" w:rsidR="00FE200F" w:rsidRDefault="00E77CAF">
            <w:pPr>
              <w:spacing w:line="216"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Проценка на</w:t>
            </w:r>
            <w:r>
              <w:rPr>
                <w:rFonts w:ascii="Times New Roman" w:hAnsi="Times New Roman" w:cs="Times New Roman"/>
                <w:sz w:val="16"/>
                <w:szCs w:val="16"/>
              </w:rPr>
              <w:br/>
            </w:r>
            <w:r>
              <w:rPr>
                <w:rFonts w:ascii="Times New Roman" w:eastAsia="Arial" w:hAnsi="Times New Roman" w:cs="Times New Roman"/>
                <w:b/>
                <w:color w:val="FFFFFF"/>
                <w:sz w:val="16"/>
                <w:szCs w:val="16"/>
              </w:rPr>
              <w:t>потребни средства</w:t>
            </w:r>
            <w:r>
              <w:rPr>
                <w:rFonts w:ascii="Times New Roman" w:hAnsi="Times New Roman" w:cs="Times New Roman"/>
                <w:sz w:val="16"/>
                <w:szCs w:val="16"/>
              </w:rPr>
              <w:br/>
            </w:r>
            <w:r>
              <w:rPr>
                <w:rFonts w:ascii="Times New Roman" w:eastAsia="Arial" w:hAnsi="Times New Roman" w:cs="Times New Roman"/>
                <w:b/>
                <w:color w:val="FFFFFF"/>
                <w:sz w:val="16"/>
                <w:szCs w:val="16"/>
              </w:rPr>
              <w:t>(EUR)</w:t>
            </w:r>
          </w:p>
        </w:tc>
        <w:tc>
          <w:tcPr>
            <w:tcW w:w="1699" w:type="dxa"/>
            <w:shd w:val="clear" w:color="auto" w:fill="4472C4"/>
            <w:vAlign w:val="center"/>
          </w:tcPr>
          <w:p w14:paraId="1C5606BB" w14:textId="77777777" w:rsidR="00FE200F" w:rsidRDefault="00E77CAF">
            <w:pPr>
              <w:spacing w:line="216"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Извор на</w:t>
            </w:r>
            <w:r>
              <w:rPr>
                <w:rFonts w:ascii="Times New Roman" w:hAnsi="Times New Roman" w:cs="Times New Roman"/>
                <w:sz w:val="16"/>
                <w:szCs w:val="16"/>
              </w:rPr>
              <w:br/>
            </w:r>
            <w:r>
              <w:rPr>
                <w:rFonts w:ascii="Times New Roman" w:eastAsia="Arial" w:hAnsi="Times New Roman" w:cs="Times New Roman"/>
                <w:b/>
                <w:color w:val="FFFFFF"/>
                <w:sz w:val="16"/>
                <w:szCs w:val="16"/>
              </w:rPr>
              <w:t>финансирање</w:t>
            </w:r>
          </w:p>
        </w:tc>
        <w:tc>
          <w:tcPr>
            <w:tcW w:w="3346" w:type="dxa"/>
            <w:shd w:val="clear" w:color="auto" w:fill="4472C4"/>
            <w:tcMar>
              <w:top w:w="35" w:type="dxa"/>
              <w:left w:w="45" w:type="dxa"/>
              <w:bottom w:w="35" w:type="dxa"/>
              <w:right w:w="45" w:type="dxa"/>
            </w:tcMar>
            <w:vAlign w:val="center"/>
          </w:tcPr>
          <w:p w14:paraId="2B4CFF9D" w14:textId="77777777" w:rsidR="00FE200F" w:rsidRDefault="00E77CAF">
            <w:pPr>
              <w:spacing w:line="218"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Показател на резултат и дијагностичка поврзаност (Фаза 1)</w:t>
            </w:r>
          </w:p>
        </w:tc>
      </w:tr>
      <w:tr w:rsidR="00FE200F" w14:paraId="41C836AE" w14:textId="77777777">
        <w:trPr>
          <w:cantSplit/>
          <w:jc w:val="center"/>
        </w:trPr>
        <w:tc>
          <w:tcPr>
            <w:tcW w:w="8153" w:type="dxa"/>
            <w:gridSpan w:val="4"/>
            <w:shd w:val="clear" w:color="auto" w:fill="D9EAF7"/>
            <w:vAlign w:val="center"/>
          </w:tcPr>
          <w:p w14:paraId="733D5DFF"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b/>
                <w:sz w:val="16"/>
                <w:szCs w:val="16"/>
              </w:rPr>
              <w:t>ПРИОРИТЕТНА ОБЛАСТ 1: ЈАВЕН СЕКТОР</w:t>
            </w:r>
          </w:p>
        </w:tc>
        <w:tc>
          <w:tcPr>
            <w:tcW w:w="7845" w:type="dxa"/>
            <w:gridSpan w:val="4"/>
            <w:shd w:val="clear" w:color="auto" w:fill="D9EAF7"/>
            <w:tcMar>
              <w:top w:w="40" w:type="dxa"/>
              <w:left w:w="50" w:type="dxa"/>
              <w:bottom w:w="40" w:type="dxa"/>
              <w:right w:w="50" w:type="dxa"/>
            </w:tcMar>
            <w:vAlign w:val="center"/>
          </w:tcPr>
          <w:p w14:paraId="144BFA26"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ПОВРЗАНОСТ СО НАЦИОНАЛНАТА РАЗВОЈНА СТРАТЕГИЈА 2024–2044:</w:t>
            </w:r>
            <w:r>
              <w:rPr>
                <w:rFonts w:ascii="Times New Roman" w:hAnsi="Times New Roman" w:cs="Times New Roman"/>
                <w:sz w:val="16"/>
                <w:szCs w:val="16"/>
              </w:rPr>
              <w:br/>
            </w:r>
            <w:r>
              <w:rPr>
                <w:rFonts w:ascii="Times New Roman" w:eastAsia="Arial" w:hAnsi="Times New Roman" w:cs="Times New Roman"/>
                <w:sz w:val="16"/>
                <w:szCs w:val="16"/>
              </w:rPr>
              <w:t>Владеење на правото и добро управување; Дигитализација.</w:t>
            </w:r>
            <w:r>
              <w:rPr>
                <w:rFonts w:ascii="Times New Roman" w:hAnsi="Times New Roman" w:cs="Times New Roman"/>
                <w:sz w:val="16"/>
                <w:szCs w:val="16"/>
              </w:rPr>
              <w:br/>
            </w:r>
            <w:r>
              <w:rPr>
                <w:rFonts w:ascii="Times New Roman" w:eastAsia="Arial" w:hAnsi="Times New Roman" w:cs="Times New Roman"/>
                <w:sz w:val="16"/>
                <w:szCs w:val="16"/>
              </w:rPr>
              <w:t>Придонес: модерни, транспарентни и кориснички ориентирани јавни услуги.</w:t>
            </w:r>
            <w:r>
              <w:rPr>
                <w:rFonts w:ascii="Times New Roman" w:hAnsi="Times New Roman" w:cs="Times New Roman"/>
                <w:sz w:val="16"/>
                <w:szCs w:val="16"/>
              </w:rPr>
              <w:br/>
            </w:r>
            <w:r>
              <w:rPr>
                <w:rFonts w:ascii="Times New Roman" w:eastAsia="Arial" w:hAnsi="Times New Roman" w:cs="Times New Roman"/>
                <w:sz w:val="16"/>
                <w:szCs w:val="16"/>
              </w:rPr>
              <w:t>СМАРТ/МК:2030: Приоритетна област 3 – Е-Владеење; Приоритетна област 2 – Дигитални компетенции и инклузивност.</w:t>
            </w:r>
          </w:p>
        </w:tc>
      </w:tr>
      <w:tr w:rsidR="00FE200F" w14:paraId="603C0E62" w14:textId="77777777">
        <w:trPr>
          <w:cantSplit/>
          <w:jc w:val="center"/>
        </w:trPr>
        <w:tc>
          <w:tcPr>
            <w:tcW w:w="8153" w:type="dxa"/>
            <w:gridSpan w:val="4"/>
            <w:shd w:val="clear" w:color="auto" w:fill="BDD7EE"/>
            <w:vAlign w:val="center"/>
          </w:tcPr>
          <w:p w14:paraId="38E697DD"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b/>
                <w:sz w:val="16"/>
                <w:szCs w:val="16"/>
              </w:rPr>
              <w:t>ОПШТА ЦЕЛ: ЈАВЕН СЕКТОР — ДИГИТАЛНИ УСЛУГИ СО ВИ, ЕФИКАСНОСТ, КВАЛИТЕТ</w:t>
            </w:r>
          </w:p>
        </w:tc>
        <w:tc>
          <w:tcPr>
            <w:tcW w:w="7845" w:type="dxa"/>
            <w:gridSpan w:val="4"/>
            <w:shd w:val="clear" w:color="auto" w:fill="EAF2F8"/>
            <w:vAlign w:val="center"/>
          </w:tcPr>
          <w:p w14:paraId="015CCD49"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 xml:space="preserve">ПОКАЗАТЕЛ НА ЕФЕКТ: GARI Public Sector Adoption и број на приоритетни јавни услуги поддржани со усогласени ВИ решенија.Почетна вредност (2027): 46,55 (GARI 2025 – последна расположлива вредност); 0 услуги.Преодна вредност (2028): 46,75; најмалку 2 услуги. </w:t>
            </w:r>
            <w:r>
              <w:rPr>
                <w:rFonts w:ascii="Times New Roman" w:eastAsia="Arial" w:hAnsi="Times New Roman" w:cs="Times New Roman"/>
                <w:sz w:val="16"/>
                <w:szCs w:val="16"/>
              </w:rPr>
              <w:t>Крајна вредност (2029): 55,00; најмалку 5 услуги.</w:t>
            </w:r>
          </w:p>
        </w:tc>
      </w:tr>
      <w:tr w:rsidR="00FE200F" w14:paraId="06C4B955" w14:textId="77777777">
        <w:trPr>
          <w:cantSplit/>
          <w:jc w:val="center"/>
        </w:trPr>
        <w:tc>
          <w:tcPr>
            <w:tcW w:w="8153" w:type="dxa"/>
            <w:gridSpan w:val="4"/>
            <w:shd w:val="clear" w:color="auto" w:fill="E7E6E6"/>
            <w:vAlign w:val="center"/>
          </w:tcPr>
          <w:p w14:paraId="7B00AD86"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b/>
                <w:sz w:val="16"/>
                <w:szCs w:val="16"/>
              </w:rPr>
              <w:t>Посебна цел 1.1. Институционална рамка и координација за ВИ</w:t>
            </w:r>
          </w:p>
        </w:tc>
        <w:tc>
          <w:tcPr>
            <w:tcW w:w="7845" w:type="dxa"/>
            <w:gridSpan w:val="4"/>
            <w:shd w:val="clear" w:color="auto" w:fill="F2F2F2"/>
            <w:vAlign w:val="center"/>
          </w:tcPr>
          <w:p w14:paraId="640DF6DF"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ПОКАЗАТЕЛ НА ИСХОД: Оперативна национална ВИ координациска структура.Почетна вредност (2027): Нема формален механизам; 0 координациски извештаи.П</w:t>
            </w:r>
            <w:r>
              <w:rPr>
                <w:rFonts w:ascii="Times New Roman" w:eastAsia="Arial" w:hAnsi="Times New Roman" w:cs="Times New Roman"/>
                <w:sz w:val="16"/>
                <w:szCs w:val="16"/>
              </w:rPr>
              <w:t>реодна вредност (2028): Национален орган и меѓуинституционална група се оперативни; 1 годишни извештаи. Крајна вредност (2029): Национален орган и меѓуинституционална група се оперативни; 2 годишни извештаи.</w:t>
            </w:r>
          </w:p>
        </w:tc>
      </w:tr>
      <w:tr w:rsidR="00FE200F" w14:paraId="4BD139C7" w14:textId="77777777">
        <w:trPr>
          <w:cantSplit/>
          <w:jc w:val="center"/>
        </w:trPr>
        <w:tc>
          <w:tcPr>
            <w:tcW w:w="1900" w:type="dxa"/>
            <w:vMerge w:val="restart"/>
            <w:vAlign w:val="center"/>
          </w:tcPr>
          <w:p w14:paraId="4406B012" w14:textId="4A237C91"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b/>
                <w:sz w:val="16"/>
                <w:szCs w:val="16"/>
              </w:rPr>
              <w:t xml:space="preserve">М1.1.1 </w:t>
            </w:r>
            <w:r w:rsidR="00D83ADD">
              <w:rPr>
                <w:rFonts w:ascii="Times New Roman" w:eastAsia="Arial" w:hAnsi="Times New Roman" w:cs="Times New Roman"/>
                <w:b/>
                <w:sz w:val="16"/>
                <w:szCs w:val="16"/>
                <w:lang w:val="mk-MK"/>
              </w:rPr>
              <w:t>Утврдување на надлежност</w:t>
            </w:r>
            <w:r>
              <w:rPr>
                <w:rFonts w:ascii="Times New Roman" w:eastAsia="Arial" w:hAnsi="Times New Roman" w:cs="Times New Roman"/>
                <w:b/>
                <w:sz w:val="16"/>
                <w:szCs w:val="16"/>
              </w:rPr>
              <w:t xml:space="preserve"> за ВИ</w:t>
            </w:r>
          </w:p>
        </w:tc>
        <w:tc>
          <w:tcPr>
            <w:tcW w:w="3202" w:type="dxa"/>
            <w:vAlign w:val="center"/>
          </w:tcPr>
          <w:p w14:paraId="4F9D733C" w14:textId="4E6E9AF8"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А1.1.1.1. Подготовка на правна основа и организациска структура на Националниот орган за ВИ, вклучително и институционална матрица на улоги. Матрицата ги разграничи: стратешката координација, известувањето и подготовката на политики; секторското спроведува</w:t>
            </w:r>
            <w:r>
              <w:rPr>
                <w:rFonts w:ascii="Times New Roman" w:eastAsia="Arial" w:hAnsi="Times New Roman" w:cs="Times New Roman"/>
                <w:sz w:val="16"/>
                <w:szCs w:val="16"/>
              </w:rPr>
              <w:t>ње; изработката на прописи; регулаторните и надзорните функции што се вршат само врз основа на законски утврден мандат и со потребната функционална независност; заштитата на личните податоци во рамките на надлежностите на АЗЛП; стандардизацијата и работата</w:t>
            </w:r>
            <w:r>
              <w:rPr>
                <w:rFonts w:ascii="Times New Roman" w:eastAsia="Arial" w:hAnsi="Times New Roman" w:cs="Times New Roman"/>
                <w:sz w:val="16"/>
                <w:szCs w:val="16"/>
              </w:rPr>
              <w:t xml:space="preserve"> во технички комитети; и советодавното и консултативното учество на засегнатите страни. </w:t>
            </w:r>
          </w:p>
        </w:tc>
        <w:tc>
          <w:tcPr>
            <w:tcW w:w="1899" w:type="dxa"/>
            <w:vAlign w:val="center"/>
          </w:tcPr>
          <w:p w14:paraId="665AB6B0"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МДТ</w:t>
            </w:r>
            <w:r>
              <w:rPr>
                <w:rFonts w:ascii="Times New Roman" w:hAnsi="Times New Roman" w:cs="Times New Roman"/>
                <w:sz w:val="16"/>
                <w:szCs w:val="16"/>
              </w:rPr>
              <w:br/>
            </w:r>
            <w:r>
              <w:rPr>
                <w:rFonts w:ascii="Times New Roman" w:eastAsia="Arial" w:hAnsi="Times New Roman" w:cs="Times New Roman"/>
                <w:sz w:val="16"/>
                <w:szCs w:val="16"/>
              </w:rPr>
              <w:t>Влада на РСМ</w:t>
            </w:r>
          </w:p>
        </w:tc>
        <w:tc>
          <w:tcPr>
            <w:tcW w:w="1152" w:type="dxa"/>
            <w:vAlign w:val="center"/>
          </w:tcPr>
          <w:p w14:paraId="411F5B60"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Q1 2027</w:t>
            </w:r>
          </w:p>
        </w:tc>
        <w:tc>
          <w:tcPr>
            <w:tcW w:w="1299" w:type="dxa"/>
            <w:vAlign w:val="center"/>
          </w:tcPr>
          <w:p w14:paraId="6B0138C1"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Q4 2027</w:t>
            </w:r>
          </w:p>
        </w:tc>
        <w:tc>
          <w:tcPr>
            <w:tcW w:w="1501" w:type="dxa"/>
            <w:vAlign w:val="center"/>
          </w:tcPr>
          <w:p w14:paraId="28EB3DE0" w14:textId="16D47F52" w:rsidR="00FE200F" w:rsidRDefault="00717630">
            <w:pPr>
              <w:spacing w:line="216" w:lineRule="auto"/>
              <w:rPr>
                <w:rFonts w:ascii="Times New Roman" w:hAnsi="Times New Roman" w:cs="Times New Roman"/>
                <w:sz w:val="16"/>
                <w:szCs w:val="16"/>
              </w:rPr>
            </w:pPr>
            <w:r>
              <w:rPr>
                <w:rFonts w:ascii="Times New Roman" w:eastAsia="Arial" w:hAnsi="Times New Roman" w:cs="Times New Roman"/>
                <w:sz w:val="16"/>
                <w:szCs w:val="16"/>
              </w:rPr>
              <w:t>3.000.000</w:t>
            </w:r>
          </w:p>
        </w:tc>
        <w:tc>
          <w:tcPr>
            <w:tcW w:w="1699" w:type="dxa"/>
            <w:vAlign w:val="center"/>
          </w:tcPr>
          <w:p w14:paraId="63B1744B"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Буџет на РСМ</w:t>
            </w:r>
          </w:p>
        </w:tc>
        <w:tc>
          <w:tcPr>
            <w:tcW w:w="3346" w:type="dxa"/>
            <w:vMerge w:val="restart"/>
            <w:tcMar>
              <w:top w:w="35" w:type="dxa"/>
              <w:left w:w="45" w:type="dxa"/>
              <w:bottom w:w="35" w:type="dxa"/>
              <w:right w:w="45" w:type="dxa"/>
            </w:tcMar>
            <w:vAlign w:val="center"/>
          </w:tcPr>
          <w:p w14:paraId="29C74ABF" w14:textId="5816AA66"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 xml:space="preserve">Показател на резултат: Национален орган за ВИ </w:t>
            </w:r>
            <w:r w:rsidR="00D83ADD">
              <w:rPr>
                <w:rFonts w:ascii="Times New Roman" w:eastAsia="Arial" w:hAnsi="Times New Roman" w:cs="Times New Roman"/>
                <w:sz w:val="16"/>
                <w:szCs w:val="16"/>
                <w:lang w:val="mk-MK"/>
              </w:rPr>
              <w:t>утврден</w:t>
            </w:r>
            <w:r>
              <w:rPr>
                <w:rFonts w:ascii="Times New Roman" w:eastAsia="Arial" w:hAnsi="Times New Roman" w:cs="Times New Roman"/>
                <w:sz w:val="16"/>
                <w:szCs w:val="16"/>
              </w:rPr>
              <w:t xml:space="preserve"> и екипиран.</w:t>
            </w:r>
          </w:p>
          <w:p w14:paraId="5D8B51A2"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 xml:space="preserve">Почетна вредност (2027): Не е воспоставен; 0 </w:t>
            </w:r>
            <w:r>
              <w:rPr>
                <w:rFonts w:ascii="Times New Roman" w:eastAsia="Arial" w:hAnsi="Times New Roman" w:cs="Times New Roman"/>
                <w:sz w:val="16"/>
                <w:szCs w:val="16"/>
              </w:rPr>
              <w:t>експерти.</w:t>
            </w:r>
          </w:p>
          <w:p w14:paraId="44C7A24C"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Преодна вредност (2028): Воспоставен и оперативен; најмалку 2 експерти.</w:t>
            </w:r>
          </w:p>
          <w:p w14:paraId="39AA0D69" w14:textId="77777777" w:rsidR="00FE200F" w:rsidRDefault="00E77CAF">
            <w:pPr>
              <w:spacing w:line="216" w:lineRule="auto"/>
              <w:rPr>
                <w:rFonts w:ascii="Times New Roman" w:hAnsi="Times New Roman" w:cs="Times New Roman"/>
                <w:sz w:val="16"/>
                <w:szCs w:val="16"/>
                <w:lang w:val="mk-MK"/>
              </w:rPr>
            </w:pPr>
            <w:r>
              <w:rPr>
                <w:rFonts w:ascii="Times New Roman" w:eastAsia="Arial" w:hAnsi="Times New Roman" w:cs="Times New Roman"/>
                <w:sz w:val="16"/>
                <w:szCs w:val="16"/>
              </w:rPr>
              <w:t>Крајна вредност (2029): Воспоставен и оперативен; најмалку 5 експерти.</w:t>
            </w:r>
          </w:p>
        </w:tc>
      </w:tr>
      <w:tr w:rsidR="00FE200F" w14:paraId="14135B0E" w14:textId="77777777">
        <w:trPr>
          <w:cantSplit/>
          <w:jc w:val="center"/>
        </w:trPr>
        <w:tc>
          <w:tcPr>
            <w:tcW w:w="1900" w:type="dxa"/>
            <w:vMerge/>
            <w:tcMar>
              <w:top w:w="50" w:type="dxa"/>
              <w:left w:w="55" w:type="dxa"/>
              <w:bottom w:w="50" w:type="dxa"/>
              <w:right w:w="55" w:type="dxa"/>
            </w:tcMar>
          </w:tcPr>
          <w:p w14:paraId="34A26FD2" w14:textId="77777777" w:rsidR="00FE200F" w:rsidRDefault="00FE200F">
            <w:pPr>
              <w:rPr>
                <w:rFonts w:ascii="Times New Roman" w:hAnsi="Times New Roman" w:cs="Times New Roman"/>
                <w:sz w:val="16"/>
                <w:szCs w:val="16"/>
              </w:rPr>
            </w:pPr>
          </w:p>
        </w:tc>
        <w:tc>
          <w:tcPr>
            <w:tcW w:w="3202" w:type="dxa"/>
            <w:vAlign w:val="center"/>
          </w:tcPr>
          <w:p w14:paraId="56A88DAD"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А1.1.1.2. Екипирање со стручен кадар (мин. 5 експерти)</w:t>
            </w:r>
          </w:p>
        </w:tc>
        <w:tc>
          <w:tcPr>
            <w:tcW w:w="1899" w:type="dxa"/>
            <w:tcMar>
              <w:top w:w="50" w:type="dxa"/>
              <w:left w:w="55" w:type="dxa"/>
              <w:bottom w:w="50" w:type="dxa"/>
              <w:right w:w="55" w:type="dxa"/>
            </w:tcMar>
          </w:tcPr>
          <w:p w14:paraId="1B4FFD24"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МДТ</w:t>
            </w:r>
            <w:r>
              <w:rPr>
                <w:rFonts w:ascii="Times New Roman" w:hAnsi="Times New Roman" w:cs="Times New Roman"/>
                <w:sz w:val="16"/>
                <w:szCs w:val="16"/>
              </w:rPr>
              <w:br/>
            </w:r>
            <w:r>
              <w:rPr>
                <w:rFonts w:ascii="Times New Roman" w:eastAsia="Arial" w:hAnsi="Times New Roman" w:cs="Times New Roman"/>
                <w:sz w:val="16"/>
                <w:szCs w:val="16"/>
              </w:rPr>
              <w:t>Влада на РСМ</w:t>
            </w:r>
          </w:p>
        </w:tc>
        <w:tc>
          <w:tcPr>
            <w:tcW w:w="1152" w:type="dxa"/>
            <w:tcMar>
              <w:top w:w="50" w:type="dxa"/>
              <w:left w:w="55" w:type="dxa"/>
              <w:bottom w:w="50" w:type="dxa"/>
              <w:right w:w="55" w:type="dxa"/>
            </w:tcMar>
          </w:tcPr>
          <w:p w14:paraId="66AF1901"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Q1 2027</w:t>
            </w:r>
          </w:p>
        </w:tc>
        <w:tc>
          <w:tcPr>
            <w:tcW w:w="1299" w:type="dxa"/>
            <w:tcMar>
              <w:top w:w="50" w:type="dxa"/>
              <w:left w:w="55" w:type="dxa"/>
              <w:bottom w:w="50" w:type="dxa"/>
              <w:right w:w="55" w:type="dxa"/>
            </w:tcMar>
          </w:tcPr>
          <w:p w14:paraId="665F2DC7"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Q4 2027</w:t>
            </w:r>
          </w:p>
        </w:tc>
        <w:tc>
          <w:tcPr>
            <w:tcW w:w="1501" w:type="dxa"/>
            <w:tcMar>
              <w:top w:w="50" w:type="dxa"/>
              <w:left w:w="55" w:type="dxa"/>
              <w:bottom w:w="50" w:type="dxa"/>
              <w:right w:w="55" w:type="dxa"/>
            </w:tcMar>
          </w:tcPr>
          <w:p w14:paraId="6C6C1324" w14:textId="7CF59EA3" w:rsidR="00FE200F" w:rsidRDefault="00717630">
            <w:pPr>
              <w:spacing w:line="216" w:lineRule="auto"/>
              <w:rPr>
                <w:rFonts w:ascii="Times New Roman" w:hAnsi="Times New Roman" w:cs="Times New Roman"/>
                <w:sz w:val="16"/>
                <w:szCs w:val="16"/>
              </w:rPr>
            </w:pPr>
            <w:r>
              <w:rPr>
                <w:rFonts w:ascii="Times New Roman" w:eastAsia="Arial" w:hAnsi="Times New Roman" w:cs="Times New Roman"/>
                <w:sz w:val="16"/>
                <w:szCs w:val="16"/>
              </w:rPr>
              <w:t>3.000.000</w:t>
            </w:r>
          </w:p>
        </w:tc>
        <w:tc>
          <w:tcPr>
            <w:tcW w:w="1699" w:type="dxa"/>
            <w:tcMar>
              <w:top w:w="50" w:type="dxa"/>
              <w:left w:w="55" w:type="dxa"/>
              <w:bottom w:w="50" w:type="dxa"/>
              <w:right w:w="55" w:type="dxa"/>
            </w:tcMar>
          </w:tcPr>
          <w:p w14:paraId="092742D8"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Буџет на РСМ</w:t>
            </w:r>
          </w:p>
        </w:tc>
        <w:tc>
          <w:tcPr>
            <w:tcW w:w="3346" w:type="dxa"/>
            <w:vMerge/>
            <w:tcMar>
              <w:top w:w="50" w:type="dxa"/>
              <w:left w:w="55" w:type="dxa"/>
              <w:bottom w:w="50" w:type="dxa"/>
              <w:right w:w="55" w:type="dxa"/>
            </w:tcMar>
          </w:tcPr>
          <w:p w14:paraId="423C0833" w14:textId="77777777" w:rsidR="00FE200F" w:rsidRDefault="00FE200F">
            <w:pPr>
              <w:rPr>
                <w:rFonts w:ascii="Times New Roman" w:hAnsi="Times New Roman" w:cs="Times New Roman"/>
                <w:sz w:val="16"/>
                <w:szCs w:val="16"/>
              </w:rPr>
            </w:pPr>
          </w:p>
        </w:tc>
      </w:tr>
      <w:tr w:rsidR="00FE200F" w14:paraId="744384C9" w14:textId="77777777">
        <w:trPr>
          <w:cantSplit/>
          <w:jc w:val="center"/>
        </w:trPr>
        <w:tc>
          <w:tcPr>
            <w:tcW w:w="1900" w:type="dxa"/>
            <w:vMerge/>
            <w:tcMar>
              <w:top w:w="50" w:type="dxa"/>
              <w:left w:w="55" w:type="dxa"/>
              <w:bottom w:w="50" w:type="dxa"/>
              <w:right w:w="55" w:type="dxa"/>
            </w:tcMar>
          </w:tcPr>
          <w:p w14:paraId="4598E959" w14:textId="77777777" w:rsidR="00FE200F" w:rsidRDefault="00FE200F">
            <w:pPr>
              <w:rPr>
                <w:rFonts w:ascii="Times New Roman" w:hAnsi="Times New Roman" w:cs="Times New Roman"/>
                <w:sz w:val="16"/>
                <w:szCs w:val="16"/>
              </w:rPr>
            </w:pPr>
          </w:p>
        </w:tc>
        <w:tc>
          <w:tcPr>
            <w:tcW w:w="3202" w:type="dxa"/>
            <w:vAlign w:val="center"/>
          </w:tcPr>
          <w:p w14:paraId="163CDD31" w14:textId="4F127512" w:rsidR="00FE200F" w:rsidRPr="00717630" w:rsidRDefault="00E77CAF">
            <w:pPr>
              <w:spacing w:line="216" w:lineRule="auto"/>
              <w:rPr>
                <w:rFonts w:ascii="Times New Roman" w:hAnsi="Times New Roman" w:cs="Times New Roman"/>
                <w:sz w:val="16"/>
                <w:szCs w:val="16"/>
                <w:lang w:val="en-GB"/>
              </w:rPr>
            </w:pPr>
            <w:r>
              <w:rPr>
                <w:rFonts w:ascii="Times New Roman" w:eastAsia="Arial" w:hAnsi="Times New Roman" w:cs="Times New Roman"/>
                <w:sz w:val="16"/>
                <w:szCs w:val="16"/>
              </w:rPr>
              <w:t xml:space="preserve">А1.1.1.3. Операционализација и усвојување на годишна програма за работа, вклучително и воспоставување и најмалку годишно ажурирање на јавен регистар на продукциски јавни ВИ системи. </w:t>
            </w:r>
          </w:p>
        </w:tc>
        <w:tc>
          <w:tcPr>
            <w:tcW w:w="1899" w:type="dxa"/>
            <w:tcMar>
              <w:top w:w="50" w:type="dxa"/>
              <w:left w:w="55" w:type="dxa"/>
              <w:bottom w:w="50" w:type="dxa"/>
              <w:right w:w="55" w:type="dxa"/>
            </w:tcMar>
          </w:tcPr>
          <w:p w14:paraId="37FE5CD2"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МДТ</w:t>
            </w:r>
            <w:r>
              <w:rPr>
                <w:rFonts w:ascii="Times New Roman" w:hAnsi="Times New Roman" w:cs="Times New Roman"/>
                <w:sz w:val="16"/>
                <w:szCs w:val="16"/>
              </w:rPr>
              <w:br/>
            </w:r>
            <w:r>
              <w:rPr>
                <w:rFonts w:ascii="Times New Roman" w:eastAsia="Arial" w:hAnsi="Times New Roman" w:cs="Times New Roman"/>
                <w:sz w:val="16"/>
                <w:szCs w:val="16"/>
              </w:rPr>
              <w:t>Влада на РСМ</w:t>
            </w:r>
          </w:p>
        </w:tc>
        <w:tc>
          <w:tcPr>
            <w:tcW w:w="1152" w:type="dxa"/>
            <w:tcMar>
              <w:top w:w="50" w:type="dxa"/>
              <w:left w:w="55" w:type="dxa"/>
              <w:bottom w:w="50" w:type="dxa"/>
              <w:right w:w="55" w:type="dxa"/>
            </w:tcMar>
          </w:tcPr>
          <w:p w14:paraId="343BAAB9"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Q1 2027</w:t>
            </w:r>
          </w:p>
        </w:tc>
        <w:tc>
          <w:tcPr>
            <w:tcW w:w="1299" w:type="dxa"/>
            <w:tcMar>
              <w:top w:w="50" w:type="dxa"/>
              <w:left w:w="55" w:type="dxa"/>
              <w:bottom w:w="50" w:type="dxa"/>
              <w:right w:w="55" w:type="dxa"/>
            </w:tcMar>
          </w:tcPr>
          <w:p w14:paraId="70114B27"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Q4 2027</w:t>
            </w:r>
          </w:p>
        </w:tc>
        <w:tc>
          <w:tcPr>
            <w:tcW w:w="1501" w:type="dxa"/>
            <w:tcMar>
              <w:top w:w="50" w:type="dxa"/>
              <w:left w:w="55" w:type="dxa"/>
              <w:bottom w:w="50" w:type="dxa"/>
              <w:right w:w="55" w:type="dxa"/>
            </w:tcMar>
          </w:tcPr>
          <w:p w14:paraId="627D101A" w14:textId="5B065A2C" w:rsidR="00FE200F" w:rsidRDefault="00717630">
            <w:pPr>
              <w:spacing w:line="216" w:lineRule="auto"/>
              <w:rPr>
                <w:rFonts w:ascii="Times New Roman" w:hAnsi="Times New Roman" w:cs="Times New Roman"/>
                <w:sz w:val="16"/>
                <w:szCs w:val="16"/>
              </w:rPr>
            </w:pPr>
            <w:r>
              <w:rPr>
                <w:rFonts w:ascii="Times New Roman" w:eastAsia="Arial" w:hAnsi="Times New Roman" w:cs="Times New Roman"/>
                <w:sz w:val="16"/>
                <w:szCs w:val="16"/>
              </w:rPr>
              <w:t>0</w:t>
            </w:r>
          </w:p>
        </w:tc>
        <w:tc>
          <w:tcPr>
            <w:tcW w:w="1699" w:type="dxa"/>
            <w:tcMar>
              <w:top w:w="50" w:type="dxa"/>
              <w:left w:w="55" w:type="dxa"/>
              <w:bottom w:w="50" w:type="dxa"/>
              <w:right w:w="55" w:type="dxa"/>
            </w:tcMar>
          </w:tcPr>
          <w:p w14:paraId="72DF95BA"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Буџет на РСМ</w:t>
            </w:r>
          </w:p>
        </w:tc>
        <w:tc>
          <w:tcPr>
            <w:tcW w:w="3346" w:type="dxa"/>
            <w:vMerge/>
            <w:tcMar>
              <w:top w:w="50" w:type="dxa"/>
              <w:left w:w="55" w:type="dxa"/>
              <w:bottom w:w="50" w:type="dxa"/>
              <w:right w:w="55" w:type="dxa"/>
            </w:tcMar>
          </w:tcPr>
          <w:p w14:paraId="067FEA13" w14:textId="77777777" w:rsidR="00FE200F" w:rsidRDefault="00FE200F">
            <w:pPr>
              <w:rPr>
                <w:rFonts w:ascii="Times New Roman" w:hAnsi="Times New Roman" w:cs="Times New Roman"/>
                <w:sz w:val="16"/>
                <w:szCs w:val="16"/>
              </w:rPr>
            </w:pPr>
          </w:p>
        </w:tc>
      </w:tr>
      <w:tr w:rsidR="00FE200F" w14:paraId="77380DAC" w14:textId="77777777">
        <w:trPr>
          <w:cantSplit/>
          <w:jc w:val="center"/>
        </w:trPr>
        <w:tc>
          <w:tcPr>
            <w:tcW w:w="1900" w:type="dxa"/>
            <w:vMerge w:val="restart"/>
            <w:vAlign w:val="center"/>
          </w:tcPr>
          <w:p w14:paraId="5D4A0176"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b/>
                <w:sz w:val="16"/>
                <w:szCs w:val="16"/>
              </w:rPr>
              <w:t>М1.1.2.</w:t>
            </w:r>
            <w:r>
              <w:rPr>
                <w:rFonts w:ascii="Times New Roman" w:eastAsia="Arial" w:hAnsi="Times New Roman" w:cs="Times New Roman"/>
                <w:b/>
                <w:sz w:val="16"/>
                <w:szCs w:val="16"/>
              </w:rPr>
              <w:t xml:space="preserve"> Формирање на меѓуинституционална координативна група</w:t>
            </w:r>
          </w:p>
        </w:tc>
        <w:tc>
          <w:tcPr>
            <w:tcW w:w="3202" w:type="dxa"/>
            <w:vAlign w:val="center"/>
          </w:tcPr>
          <w:p w14:paraId="7B270207"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А1.1.2.1. Именување на претставници од сите ресорни министерства</w:t>
            </w:r>
          </w:p>
        </w:tc>
        <w:tc>
          <w:tcPr>
            <w:tcW w:w="1899" w:type="dxa"/>
            <w:vAlign w:val="center"/>
          </w:tcPr>
          <w:p w14:paraId="2285B18B"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МДТ</w:t>
            </w:r>
            <w:r>
              <w:rPr>
                <w:rFonts w:ascii="Times New Roman" w:hAnsi="Times New Roman" w:cs="Times New Roman"/>
                <w:sz w:val="16"/>
                <w:szCs w:val="16"/>
              </w:rPr>
              <w:br/>
            </w:r>
            <w:r>
              <w:rPr>
                <w:rFonts w:ascii="Times New Roman" w:eastAsia="Arial" w:hAnsi="Times New Roman" w:cs="Times New Roman"/>
                <w:sz w:val="16"/>
                <w:szCs w:val="16"/>
              </w:rPr>
              <w:t>Сите министерства</w:t>
            </w:r>
          </w:p>
        </w:tc>
        <w:tc>
          <w:tcPr>
            <w:tcW w:w="1152" w:type="dxa"/>
            <w:vAlign w:val="center"/>
          </w:tcPr>
          <w:p w14:paraId="7DF8E3A8"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Q2 2027</w:t>
            </w:r>
          </w:p>
        </w:tc>
        <w:tc>
          <w:tcPr>
            <w:tcW w:w="1299" w:type="dxa"/>
            <w:vAlign w:val="center"/>
          </w:tcPr>
          <w:p w14:paraId="50428CC8"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Q3 2027</w:t>
            </w:r>
          </w:p>
        </w:tc>
        <w:tc>
          <w:tcPr>
            <w:tcW w:w="1501" w:type="dxa"/>
            <w:tcMar>
              <w:top w:w="40" w:type="dxa"/>
              <w:left w:w="50" w:type="dxa"/>
              <w:bottom w:w="40" w:type="dxa"/>
              <w:right w:w="50" w:type="dxa"/>
            </w:tcMar>
            <w:vAlign w:val="center"/>
          </w:tcPr>
          <w:p w14:paraId="241FABF3"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0</w:t>
            </w:r>
          </w:p>
        </w:tc>
        <w:tc>
          <w:tcPr>
            <w:tcW w:w="1699" w:type="dxa"/>
            <w:tcMar>
              <w:top w:w="40" w:type="dxa"/>
              <w:left w:w="50" w:type="dxa"/>
              <w:bottom w:w="40" w:type="dxa"/>
              <w:right w:w="50" w:type="dxa"/>
            </w:tcMar>
            <w:vAlign w:val="center"/>
          </w:tcPr>
          <w:p w14:paraId="6E145434"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Не се потребни</w:t>
            </w:r>
            <w:r>
              <w:rPr>
                <w:rFonts w:ascii="Times New Roman" w:hAnsi="Times New Roman" w:cs="Times New Roman"/>
                <w:sz w:val="16"/>
                <w:szCs w:val="16"/>
              </w:rPr>
              <w:br/>
            </w:r>
            <w:r>
              <w:rPr>
                <w:rFonts w:ascii="Times New Roman" w:eastAsia="Arial" w:hAnsi="Times New Roman" w:cs="Times New Roman"/>
                <w:sz w:val="16"/>
                <w:szCs w:val="16"/>
              </w:rPr>
              <w:t>дополнителни средства</w:t>
            </w:r>
          </w:p>
        </w:tc>
        <w:tc>
          <w:tcPr>
            <w:tcW w:w="3346" w:type="dxa"/>
            <w:vMerge w:val="restart"/>
            <w:tcMar>
              <w:top w:w="35" w:type="dxa"/>
              <w:left w:w="45" w:type="dxa"/>
              <w:bottom w:w="35" w:type="dxa"/>
              <w:right w:w="45" w:type="dxa"/>
            </w:tcMar>
            <w:vAlign w:val="center"/>
          </w:tcPr>
          <w:p w14:paraId="1CEF414F"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 xml:space="preserve">Показател на резултат: Функционална меѓуинституционална </w:t>
            </w:r>
            <w:r>
              <w:rPr>
                <w:rFonts w:ascii="Times New Roman" w:eastAsia="Arial" w:hAnsi="Times New Roman" w:cs="Times New Roman"/>
                <w:sz w:val="16"/>
                <w:szCs w:val="16"/>
              </w:rPr>
              <w:t>координативна група.</w:t>
            </w:r>
          </w:p>
          <w:p w14:paraId="21A93543"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Почетна вредност (2027): Не е воспоставена; 0 состаноци.</w:t>
            </w:r>
          </w:p>
          <w:p w14:paraId="736D22B4"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 xml:space="preserve">Преодна вредност (2028): Најмалку 5 претставници и 2 состаноци годишно. </w:t>
            </w:r>
          </w:p>
          <w:p w14:paraId="3CD94BA7" w14:textId="77777777" w:rsidR="00FE200F" w:rsidRDefault="00E77CAF">
            <w:pPr>
              <w:spacing w:line="216" w:lineRule="auto"/>
              <w:rPr>
                <w:rFonts w:ascii="Times New Roman" w:hAnsi="Times New Roman" w:cs="Times New Roman"/>
                <w:sz w:val="16"/>
                <w:szCs w:val="16"/>
                <w:lang w:val="mk-MK"/>
              </w:rPr>
            </w:pPr>
            <w:r>
              <w:rPr>
                <w:rFonts w:ascii="Times New Roman" w:eastAsia="Arial" w:hAnsi="Times New Roman" w:cs="Times New Roman"/>
                <w:sz w:val="16"/>
                <w:szCs w:val="16"/>
              </w:rPr>
              <w:lastRenderedPageBreak/>
              <w:t>Крајна вредност (2029): Најмалку 10 претставници и 4 состаноци годишно.</w:t>
            </w:r>
          </w:p>
        </w:tc>
      </w:tr>
      <w:tr w:rsidR="00FE200F" w14:paraId="437FDC20" w14:textId="77777777">
        <w:trPr>
          <w:cantSplit/>
          <w:jc w:val="center"/>
        </w:trPr>
        <w:tc>
          <w:tcPr>
            <w:tcW w:w="1900" w:type="dxa"/>
            <w:vMerge/>
            <w:tcMar>
              <w:top w:w="50" w:type="dxa"/>
              <w:left w:w="55" w:type="dxa"/>
              <w:bottom w:w="50" w:type="dxa"/>
              <w:right w:w="55" w:type="dxa"/>
            </w:tcMar>
          </w:tcPr>
          <w:p w14:paraId="3C716EAE" w14:textId="77777777" w:rsidR="00FE200F" w:rsidRDefault="00FE200F">
            <w:pPr>
              <w:rPr>
                <w:rFonts w:ascii="Times New Roman" w:hAnsi="Times New Roman" w:cs="Times New Roman"/>
                <w:sz w:val="16"/>
                <w:szCs w:val="16"/>
              </w:rPr>
            </w:pPr>
          </w:p>
        </w:tc>
        <w:tc>
          <w:tcPr>
            <w:tcW w:w="3202" w:type="dxa"/>
            <w:vAlign w:val="center"/>
          </w:tcPr>
          <w:p w14:paraId="66AFD1F7"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 xml:space="preserve">А1.1.2.2. Одржување на </w:t>
            </w:r>
            <w:r>
              <w:rPr>
                <w:rFonts w:ascii="Times New Roman" w:eastAsia="Arial" w:hAnsi="Times New Roman" w:cs="Times New Roman"/>
                <w:sz w:val="16"/>
                <w:szCs w:val="16"/>
              </w:rPr>
              <w:t>квартални координативни состаноци</w:t>
            </w:r>
          </w:p>
        </w:tc>
        <w:tc>
          <w:tcPr>
            <w:tcW w:w="1899" w:type="dxa"/>
            <w:tcMar>
              <w:top w:w="50" w:type="dxa"/>
              <w:left w:w="55" w:type="dxa"/>
              <w:bottom w:w="50" w:type="dxa"/>
              <w:right w:w="55" w:type="dxa"/>
            </w:tcMar>
          </w:tcPr>
          <w:p w14:paraId="0216D8E3"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МДТ</w:t>
            </w:r>
            <w:r>
              <w:rPr>
                <w:rFonts w:ascii="Times New Roman" w:hAnsi="Times New Roman" w:cs="Times New Roman"/>
                <w:sz w:val="16"/>
                <w:szCs w:val="16"/>
              </w:rPr>
              <w:br/>
            </w:r>
            <w:r>
              <w:rPr>
                <w:rFonts w:ascii="Times New Roman" w:eastAsia="Arial" w:hAnsi="Times New Roman" w:cs="Times New Roman"/>
                <w:sz w:val="16"/>
                <w:szCs w:val="16"/>
              </w:rPr>
              <w:t>Сите министерства</w:t>
            </w:r>
          </w:p>
        </w:tc>
        <w:tc>
          <w:tcPr>
            <w:tcW w:w="1152" w:type="dxa"/>
            <w:tcMar>
              <w:top w:w="50" w:type="dxa"/>
              <w:left w:w="55" w:type="dxa"/>
              <w:bottom w:w="50" w:type="dxa"/>
              <w:right w:w="55" w:type="dxa"/>
            </w:tcMar>
          </w:tcPr>
          <w:p w14:paraId="418B1C03"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Q2 2027</w:t>
            </w:r>
          </w:p>
        </w:tc>
        <w:tc>
          <w:tcPr>
            <w:tcW w:w="1299" w:type="dxa"/>
            <w:tcMar>
              <w:top w:w="50" w:type="dxa"/>
              <w:left w:w="55" w:type="dxa"/>
              <w:bottom w:w="50" w:type="dxa"/>
              <w:right w:w="55" w:type="dxa"/>
            </w:tcMar>
          </w:tcPr>
          <w:p w14:paraId="10BE64A1" w14:textId="31271ACF"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w:t>
            </w:r>
            <w:r w:rsidR="00717630">
              <w:rPr>
                <w:rFonts w:ascii="Times New Roman" w:eastAsia="Arial" w:hAnsi="Times New Roman" w:cs="Times New Roman"/>
                <w:sz w:val="16"/>
                <w:szCs w:val="16"/>
              </w:rPr>
              <w:t>4</w:t>
            </w:r>
            <w:r>
              <w:rPr>
                <w:rFonts w:ascii="Times New Roman" w:eastAsia="Arial" w:hAnsi="Times New Roman" w:cs="Times New Roman"/>
                <w:sz w:val="16"/>
                <w:szCs w:val="16"/>
              </w:rPr>
              <w:t xml:space="preserve"> 202</w:t>
            </w:r>
            <w:r w:rsidR="00717630">
              <w:rPr>
                <w:rFonts w:ascii="Times New Roman" w:eastAsia="Arial" w:hAnsi="Times New Roman" w:cs="Times New Roman"/>
                <w:sz w:val="16"/>
                <w:szCs w:val="16"/>
              </w:rPr>
              <w:t>9</w:t>
            </w:r>
          </w:p>
        </w:tc>
        <w:tc>
          <w:tcPr>
            <w:tcW w:w="1501" w:type="dxa"/>
            <w:tcMar>
              <w:top w:w="50" w:type="dxa"/>
              <w:left w:w="55" w:type="dxa"/>
              <w:bottom w:w="50" w:type="dxa"/>
              <w:right w:w="55" w:type="dxa"/>
            </w:tcMar>
          </w:tcPr>
          <w:p w14:paraId="73272E2E"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0</w:t>
            </w:r>
          </w:p>
        </w:tc>
        <w:tc>
          <w:tcPr>
            <w:tcW w:w="1699" w:type="dxa"/>
            <w:tcMar>
              <w:top w:w="50" w:type="dxa"/>
              <w:left w:w="55" w:type="dxa"/>
              <w:bottom w:w="50" w:type="dxa"/>
              <w:right w:w="55" w:type="dxa"/>
            </w:tcMar>
          </w:tcPr>
          <w:p w14:paraId="412395AB"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Не се потребни</w:t>
            </w:r>
            <w:r>
              <w:rPr>
                <w:rFonts w:ascii="Times New Roman" w:hAnsi="Times New Roman" w:cs="Times New Roman"/>
                <w:sz w:val="16"/>
                <w:szCs w:val="16"/>
              </w:rPr>
              <w:br/>
            </w:r>
            <w:r>
              <w:rPr>
                <w:rFonts w:ascii="Times New Roman" w:eastAsia="Arial" w:hAnsi="Times New Roman" w:cs="Times New Roman"/>
                <w:sz w:val="16"/>
                <w:szCs w:val="16"/>
              </w:rPr>
              <w:t>дополнителни средства</w:t>
            </w:r>
          </w:p>
        </w:tc>
        <w:tc>
          <w:tcPr>
            <w:tcW w:w="3346" w:type="dxa"/>
            <w:vMerge/>
            <w:tcMar>
              <w:top w:w="50" w:type="dxa"/>
              <w:left w:w="55" w:type="dxa"/>
              <w:bottom w:w="50" w:type="dxa"/>
              <w:right w:w="55" w:type="dxa"/>
            </w:tcMar>
          </w:tcPr>
          <w:p w14:paraId="0D319DD0" w14:textId="77777777" w:rsidR="00FE200F" w:rsidRDefault="00FE200F">
            <w:pPr>
              <w:rPr>
                <w:rFonts w:ascii="Times New Roman" w:hAnsi="Times New Roman" w:cs="Times New Roman"/>
                <w:sz w:val="16"/>
                <w:szCs w:val="16"/>
              </w:rPr>
            </w:pPr>
          </w:p>
        </w:tc>
      </w:tr>
      <w:tr w:rsidR="00FE200F" w14:paraId="09C291F9" w14:textId="77777777">
        <w:trPr>
          <w:cantSplit/>
          <w:jc w:val="center"/>
        </w:trPr>
        <w:tc>
          <w:tcPr>
            <w:tcW w:w="1900" w:type="dxa"/>
            <w:vMerge/>
            <w:tcMar>
              <w:top w:w="50" w:type="dxa"/>
              <w:left w:w="55" w:type="dxa"/>
              <w:bottom w:w="50" w:type="dxa"/>
              <w:right w:w="55" w:type="dxa"/>
            </w:tcMar>
          </w:tcPr>
          <w:p w14:paraId="1B2C8DDF" w14:textId="77777777" w:rsidR="00FE200F" w:rsidRDefault="00FE200F">
            <w:pPr>
              <w:rPr>
                <w:rFonts w:ascii="Times New Roman" w:hAnsi="Times New Roman" w:cs="Times New Roman"/>
                <w:sz w:val="16"/>
                <w:szCs w:val="16"/>
              </w:rPr>
            </w:pPr>
          </w:p>
        </w:tc>
        <w:tc>
          <w:tcPr>
            <w:tcW w:w="3202" w:type="dxa"/>
            <w:vAlign w:val="center"/>
          </w:tcPr>
          <w:p w14:paraId="174B5A1D" w14:textId="443C4F1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 xml:space="preserve">А1.1.2.3. Подготовка на годишен извештај </w:t>
            </w:r>
          </w:p>
        </w:tc>
        <w:tc>
          <w:tcPr>
            <w:tcW w:w="1899" w:type="dxa"/>
            <w:tcMar>
              <w:top w:w="50" w:type="dxa"/>
              <w:left w:w="55" w:type="dxa"/>
              <w:bottom w:w="50" w:type="dxa"/>
              <w:right w:w="55" w:type="dxa"/>
            </w:tcMar>
          </w:tcPr>
          <w:p w14:paraId="40CCC38E"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МДТ</w:t>
            </w:r>
            <w:r>
              <w:rPr>
                <w:rFonts w:ascii="Times New Roman" w:hAnsi="Times New Roman" w:cs="Times New Roman"/>
                <w:sz w:val="16"/>
                <w:szCs w:val="16"/>
              </w:rPr>
              <w:br/>
            </w:r>
            <w:r>
              <w:rPr>
                <w:rFonts w:ascii="Times New Roman" w:eastAsia="Arial" w:hAnsi="Times New Roman" w:cs="Times New Roman"/>
                <w:sz w:val="16"/>
                <w:szCs w:val="16"/>
              </w:rPr>
              <w:t>Сите министерства</w:t>
            </w:r>
          </w:p>
        </w:tc>
        <w:tc>
          <w:tcPr>
            <w:tcW w:w="1152" w:type="dxa"/>
            <w:tcMar>
              <w:top w:w="50" w:type="dxa"/>
              <w:left w:w="55" w:type="dxa"/>
              <w:bottom w:w="50" w:type="dxa"/>
              <w:right w:w="55" w:type="dxa"/>
            </w:tcMar>
          </w:tcPr>
          <w:p w14:paraId="0A770132" w14:textId="04179E46"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Q2 202</w:t>
            </w:r>
            <w:r w:rsidR="00717630">
              <w:rPr>
                <w:rFonts w:ascii="Times New Roman" w:eastAsia="Arial" w:hAnsi="Times New Roman" w:cs="Times New Roman"/>
                <w:sz w:val="16"/>
                <w:szCs w:val="16"/>
              </w:rPr>
              <w:t>8</w:t>
            </w:r>
          </w:p>
        </w:tc>
        <w:tc>
          <w:tcPr>
            <w:tcW w:w="1299" w:type="dxa"/>
            <w:tcMar>
              <w:top w:w="50" w:type="dxa"/>
              <w:left w:w="55" w:type="dxa"/>
              <w:bottom w:w="50" w:type="dxa"/>
              <w:right w:w="55" w:type="dxa"/>
            </w:tcMar>
          </w:tcPr>
          <w:p w14:paraId="12759024" w14:textId="6653CE91"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Q3 202</w:t>
            </w:r>
            <w:r w:rsidR="00717630">
              <w:rPr>
                <w:rFonts w:ascii="Times New Roman" w:eastAsia="Arial" w:hAnsi="Times New Roman" w:cs="Times New Roman"/>
                <w:sz w:val="16"/>
                <w:szCs w:val="16"/>
              </w:rPr>
              <w:t>9</w:t>
            </w:r>
          </w:p>
        </w:tc>
        <w:tc>
          <w:tcPr>
            <w:tcW w:w="1501" w:type="dxa"/>
            <w:tcMar>
              <w:top w:w="50" w:type="dxa"/>
              <w:left w:w="55" w:type="dxa"/>
              <w:bottom w:w="50" w:type="dxa"/>
              <w:right w:w="55" w:type="dxa"/>
            </w:tcMar>
          </w:tcPr>
          <w:p w14:paraId="432778AA"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0</w:t>
            </w:r>
          </w:p>
        </w:tc>
        <w:tc>
          <w:tcPr>
            <w:tcW w:w="1699" w:type="dxa"/>
            <w:tcMar>
              <w:top w:w="50" w:type="dxa"/>
              <w:left w:w="55" w:type="dxa"/>
              <w:bottom w:w="50" w:type="dxa"/>
              <w:right w:w="55" w:type="dxa"/>
            </w:tcMar>
          </w:tcPr>
          <w:p w14:paraId="5C4CE574"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Не се потребни</w:t>
            </w:r>
            <w:r>
              <w:rPr>
                <w:rFonts w:ascii="Times New Roman" w:hAnsi="Times New Roman" w:cs="Times New Roman"/>
                <w:sz w:val="16"/>
                <w:szCs w:val="16"/>
              </w:rPr>
              <w:br/>
            </w:r>
            <w:r>
              <w:rPr>
                <w:rFonts w:ascii="Times New Roman" w:eastAsia="Arial" w:hAnsi="Times New Roman" w:cs="Times New Roman"/>
                <w:sz w:val="16"/>
                <w:szCs w:val="16"/>
              </w:rPr>
              <w:t>дополнителни средства</w:t>
            </w:r>
          </w:p>
        </w:tc>
        <w:tc>
          <w:tcPr>
            <w:tcW w:w="3346" w:type="dxa"/>
            <w:vMerge/>
            <w:tcMar>
              <w:top w:w="50" w:type="dxa"/>
              <w:left w:w="55" w:type="dxa"/>
              <w:bottom w:w="50" w:type="dxa"/>
              <w:right w:w="55" w:type="dxa"/>
            </w:tcMar>
          </w:tcPr>
          <w:p w14:paraId="0D0B68DD" w14:textId="77777777" w:rsidR="00FE200F" w:rsidRDefault="00FE200F">
            <w:pPr>
              <w:rPr>
                <w:rFonts w:ascii="Times New Roman" w:hAnsi="Times New Roman" w:cs="Times New Roman"/>
                <w:sz w:val="16"/>
                <w:szCs w:val="16"/>
              </w:rPr>
            </w:pPr>
          </w:p>
        </w:tc>
      </w:tr>
      <w:tr w:rsidR="00FE200F" w14:paraId="17D2FF53" w14:textId="77777777">
        <w:trPr>
          <w:cantSplit/>
          <w:jc w:val="center"/>
        </w:trPr>
        <w:tc>
          <w:tcPr>
            <w:tcW w:w="8153" w:type="dxa"/>
            <w:gridSpan w:val="4"/>
            <w:shd w:val="clear" w:color="auto" w:fill="E7E6E6"/>
            <w:vAlign w:val="center"/>
          </w:tcPr>
          <w:p w14:paraId="0866ACF7"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b/>
                <w:sz w:val="16"/>
                <w:szCs w:val="16"/>
              </w:rPr>
              <w:lastRenderedPageBreak/>
              <w:t xml:space="preserve">Посебна цел 1.2. </w:t>
            </w:r>
            <w:r>
              <w:rPr>
                <w:rFonts w:ascii="Times New Roman" w:eastAsia="Arial" w:hAnsi="Times New Roman" w:cs="Times New Roman"/>
                <w:b/>
                <w:sz w:val="16"/>
                <w:szCs w:val="16"/>
              </w:rPr>
              <w:t>Имплементација на ВИ пилот-проекти за јавни е-услуги</w:t>
            </w:r>
          </w:p>
        </w:tc>
        <w:tc>
          <w:tcPr>
            <w:tcW w:w="7845" w:type="dxa"/>
            <w:gridSpan w:val="4"/>
            <w:shd w:val="clear" w:color="auto" w:fill="F2F2F2"/>
            <w:vAlign w:val="center"/>
          </w:tcPr>
          <w:p w14:paraId="66063959"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ПОКАЗАТЕЛ НА ИСХОД: Функционални ВИ пилот-решенија во јавните услуги.Почетна вредност (2027): 0 функционални пилот-решенија.Преодна вредност (2028): Најмалку 2 функционални пилот-решенија. Крајна вреднос</w:t>
            </w:r>
            <w:r>
              <w:rPr>
                <w:rFonts w:ascii="Times New Roman" w:eastAsia="Arial" w:hAnsi="Times New Roman" w:cs="Times New Roman"/>
                <w:sz w:val="16"/>
                <w:szCs w:val="16"/>
              </w:rPr>
              <w:t>т (2029): Најмалку 5 функционални пилот-решенија.</w:t>
            </w:r>
          </w:p>
        </w:tc>
      </w:tr>
      <w:tr w:rsidR="00FE200F" w14:paraId="1AD9FA07" w14:textId="77777777">
        <w:trPr>
          <w:cantSplit/>
          <w:jc w:val="center"/>
        </w:trPr>
        <w:tc>
          <w:tcPr>
            <w:tcW w:w="1900" w:type="dxa"/>
            <w:vMerge w:val="restart"/>
            <w:vAlign w:val="center"/>
          </w:tcPr>
          <w:p w14:paraId="1499CD86"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b/>
                <w:sz w:val="16"/>
                <w:szCs w:val="16"/>
              </w:rPr>
              <w:t>М1.2.1. Развој на ВИ виртуелни асистенти за граѓаните</w:t>
            </w:r>
          </w:p>
        </w:tc>
        <w:tc>
          <w:tcPr>
            <w:tcW w:w="3202" w:type="dxa"/>
            <w:vAlign w:val="center"/>
          </w:tcPr>
          <w:p w14:paraId="6B6E5443"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 xml:space="preserve">А1.2.1.1. Селекција и мапирање на 5 приоритетни е-услуги за автоматизација, со оценка на потребата од ВИ, правниот основ, податочната и </w:t>
            </w:r>
            <w:r>
              <w:rPr>
                <w:rFonts w:ascii="Times New Roman" w:eastAsia="Arial" w:hAnsi="Times New Roman" w:cs="Times New Roman"/>
                <w:sz w:val="16"/>
                <w:szCs w:val="16"/>
              </w:rPr>
              <w:t>интероперабилната подготвеност, пристапноста и релевантната повеќејазичност, вклучително на македонски, албански и други релевантни јазици според услугата. За услуга што може значително да влијае врз пристапот до јавна услуга или врз правата на ранливи и т</w:t>
            </w:r>
            <w:r>
              <w:rPr>
                <w:rFonts w:ascii="Times New Roman" w:eastAsia="Arial" w:hAnsi="Times New Roman" w:cs="Times New Roman"/>
                <w:sz w:val="16"/>
                <w:szCs w:val="16"/>
              </w:rPr>
              <w:t>ериторијално оддалечени корисници, изборот и тестирањето вклучуваат пропорционално учество на засегнатите корисници и проверка на пристапноста.</w:t>
            </w:r>
          </w:p>
        </w:tc>
        <w:tc>
          <w:tcPr>
            <w:tcW w:w="1899" w:type="dxa"/>
            <w:vAlign w:val="center"/>
          </w:tcPr>
          <w:p w14:paraId="02A36C3B"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МДТ</w:t>
            </w:r>
          </w:p>
        </w:tc>
        <w:tc>
          <w:tcPr>
            <w:tcW w:w="1152" w:type="dxa"/>
            <w:vAlign w:val="center"/>
          </w:tcPr>
          <w:p w14:paraId="527BB779"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Q2 2027</w:t>
            </w:r>
          </w:p>
        </w:tc>
        <w:tc>
          <w:tcPr>
            <w:tcW w:w="1299" w:type="dxa"/>
            <w:vAlign w:val="center"/>
          </w:tcPr>
          <w:p w14:paraId="6F3A84F5"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Q2 2028</w:t>
            </w:r>
          </w:p>
        </w:tc>
        <w:tc>
          <w:tcPr>
            <w:tcW w:w="1501" w:type="dxa"/>
            <w:vAlign w:val="center"/>
          </w:tcPr>
          <w:p w14:paraId="330BA058" w14:textId="57FA27C3" w:rsidR="00FE200F" w:rsidRDefault="00F418D6">
            <w:pPr>
              <w:spacing w:line="216" w:lineRule="auto"/>
              <w:rPr>
                <w:rFonts w:ascii="Times New Roman" w:hAnsi="Times New Roman" w:cs="Times New Roman"/>
                <w:sz w:val="16"/>
                <w:szCs w:val="16"/>
              </w:rPr>
            </w:pPr>
            <w:r>
              <w:rPr>
                <w:rFonts w:ascii="Times New Roman" w:eastAsia="Arial" w:hAnsi="Times New Roman" w:cs="Times New Roman"/>
                <w:sz w:val="16"/>
                <w:szCs w:val="16"/>
              </w:rPr>
              <w:t>6.000.000</w:t>
            </w:r>
          </w:p>
        </w:tc>
        <w:tc>
          <w:tcPr>
            <w:tcW w:w="1699" w:type="dxa"/>
            <w:vAlign w:val="center"/>
          </w:tcPr>
          <w:p w14:paraId="601314AD"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ИПА III</w:t>
            </w:r>
            <w:r>
              <w:rPr>
                <w:rFonts w:ascii="Times New Roman" w:hAnsi="Times New Roman" w:cs="Times New Roman"/>
                <w:sz w:val="16"/>
                <w:szCs w:val="16"/>
              </w:rPr>
              <w:br/>
            </w:r>
            <w:r>
              <w:rPr>
                <w:rFonts w:ascii="Times New Roman" w:eastAsia="Arial" w:hAnsi="Times New Roman" w:cs="Times New Roman"/>
                <w:sz w:val="16"/>
                <w:szCs w:val="16"/>
              </w:rPr>
              <w:t>Буџет на РСМ</w:t>
            </w:r>
          </w:p>
        </w:tc>
        <w:tc>
          <w:tcPr>
            <w:tcW w:w="3346" w:type="dxa"/>
            <w:vMerge w:val="restart"/>
            <w:tcMar>
              <w:top w:w="35" w:type="dxa"/>
              <w:left w:w="45" w:type="dxa"/>
              <w:bottom w:w="35" w:type="dxa"/>
              <w:right w:w="45" w:type="dxa"/>
            </w:tcMar>
            <w:vAlign w:val="center"/>
          </w:tcPr>
          <w:p w14:paraId="570D2057"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Показател на резултат: Приоритетни е-услуги со ВИ виртуелен а</w:t>
            </w:r>
            <w:r>
              <w:rPr>
                <w:rFonts w:ascii="Times New Roman" w:eastAsia="Arial" w:hAnsi="Times New Roman" w:cs="Times New Roman"/>
                <w:sz w:val="16"/>
                <w:szCs w:val="16"/>
              </w:rPr>
              <w:t>систент.</w:t>
            </w:r>
          </w:p>
          <w:p w14:paraId="2D9E8E3C"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Почетна вредност (2027): 0 мапирани услуги и 0 асистенти.</w:t>
            </w:r>
          </w:p>
          <w:p w14:paraId="36C36B77"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 xml:space="preserve">Преодна вредност (2028): 2 мапирани услуги, 1 асистент и најмалку 30% успешно решени барања. </w:t>
            </w:r>
          </w:p>
          <w:p w14:paraId="01FE7BA4" w14:textId="77777777" w:rsidR="00FE200F" w:rsidRDefault="00E77CAF">
            <w:pPr>
              <w:spacing w:line="216" w:lineRule="auto"/>
              <w:rPr>
                <w:rFonts w:ascii="Times New Roman" w:hAnsi="Times New Roman" w:cs="Times New Roman"/>
                <w:sz w:val="16"/>
                <w:szCs w:val="16"/>
                <w:lang w:val="mk-MK"/>
              </w:rPr>
            </w:pPr>
            <w:r>
              <w:rPr>
                <w:rFonts w:ascii="Times New Roman" w:eastAsia="Arial" w:hAnsi="Times New Roman" w:cs="Times New Roman"/>
                <w:sz w:val="16"/>
                <w:szCs w:val="16"/>
              </w:rPr>
              <w:t>Крајна вредност (2029): 5 мапирани услуги, 1 асистент и најмалку 60% успешно решени барања.</w:t>
            </w:r>
          </w:p>
        </w:tc>
      </w:tr>
      <w:tr w:rsidR="00FE200F" w14:paraId="600B7E2D" w14:textId="77777777">
        <w:trPr>
          <w:cantSplit/>
          <w:jc w:val="center"/>
        </w:trPr>
        <w:tc>
          <w:tcPr>
            <w:tcW w:w="1900" w:type="dxa"/>
            <w:vMerge/>
            <w:tcMar>
              <w:top w:w="50" w:type="dxa"/>
              <w:left w:w="55" w:type="dxa"/>
              <w:bottom w:w="50" w:type="dxa"/>
              <w:right w:w="55" w:type="dxa"/>
            </w:tcMar>
          </w:tcPr>
          <w:p w14:paraId="3759A1E8" w14:textId="77777777" w:rsidR="00FE200F" w:rsidRDefault="00FE200F">
            <w:pPr>
              <w:rPr>
                <w:rFonts w:ascii="Times New Roman" w:hAnsi="Times New Roman" w:cs="Times New Roman"/>
                <w:sz w:val="16"/>
                <w:szCs w:val="16"/>
              </w:rPr>
            </w:pPr>
          </w:p>
        </w:tc>
        <w:tc>
          <w:tcPr>
            <w:tcW w:w="3202" w:type="dxa"/>
            <w:vAlign w:val="center"/>
          </w:tcPr>
          <w:p w14:paraId="04A51714"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А1.2.1.2. Развој и тестирање на ВИ чатбот/виртуелен асистент со јасно определена информативна намена, верификувана службена база на знаење за одговори што се однесуваат на права, постапки, рокови и јавни услуги, известување дека корисникот комуницира со ВИ</w:t>
            </w:r>
            <w:r>
              <w:rPr>
                <w:rFonts w:ascii="Times New Roman" w:eastAsia="Arial" w:hAnsi="Times New Roman" w:cs="Times New Roman"/>
                <w:sz w:val="16"/>
                <w:szCs w:val="16"/>
              </w:rPr>
              <w:t xml:space="preserve">, лесно достапно човечко пренасочување кога базата на знаење не го опфаќа прашањето и правно-техничка проверка пред пилотирањето. За услугите за кои прописите налагаат двојазично обезбедување, се обезбедува и албанска јазична верзија со соодветно проверен </w:t>
            </w:r>
            <w:r>
              <w:rPr>
                <w:rFonts w:ascii="Times New Roman" w:eastAsia="Arial" w:hAnsi="Times New Roman" w:cs="Times New Roman"/>
                <w:sz w:val="16"/>
                <w:szCs w:val="16"/>
              </w:rPr>
              <w:t>квалитет.</w:t>
            </w:r>
          </w:p>
        </w:tc>
        <w:tc>
          <w:tcPr>
            <w:tcW w:w="1899" w:type="dxa"/>
            <w:tcMar>
              <w:top w:w="50" w:type="dxa"/>
              <w:left w:w="55" w:type="dxa"/>
              <w:bottom w:w="50" w:type="dxa"/>
              <w:right w:w="55" w:type="dxa"/>
            </w:tcMar>
          </w:tcPr>
          <w:p w14:paraId="4C730CEB"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МДТ</w:t>
            </w:r>
          </w:p>
        </w:tc>
        <w:tc>
          <w:tcPr>
            <w:tcW w:w="1152" w:type="dxa"/>
            <w:tcMar>
              <w:top w:w="50" w:type="dxa"/>
              <w:left w:w="55" w:type="dxa"/>
              <w:bottom w:w="50" w:type="dxa"/>
              <w:right w:w="55" w:type="dxa"/>
            </w:tcMar>
          </w:tcPr>
          <w:p w14:paraId="74C3651D"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Q2 2027</w:t>
            </w:r>
          </w:p>
        </w:tc>
        <w:tc>
          <w:tcPr>
            <w:tcW w:w="1299" w:type="dxa"/>
            <w:tcMar>
              <w:top w:w="50" w:type="dxa"/>
              <w:left w:w="55" w:type="dxa"/>
              <w:bottom w:w="50" w:type="dxa"/>
              <w:right w:w="55" w:type="dxa"/>
            </w:tcMar>
          </w:tcPr>
          <w:p w14:paraId="070B1043"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Q2 2028</w:t>
            </w:r>
          </w:p>
        </w:tc>
        <w:tc>
          <w:tcPr>
            <w:tcW w:w="1501" w:type="dxa"/>
            <w:tcMar>
              <w:top w:w="50" w:type="dxa"/>
              <w:left w:w="55" w:type="dxa"/>
              <w:bottom w:w="50" w:type="dxa"/>
              <w:right w:w="55" w:type="dxa"/>
            </w:tcMar>
          </w:tcPr>
          <w:p w14:paraId="4E7B7E15" w14:textId="7740DCCA" w:rsidR="00FE200F" w:rsidRDefault="00F418D6">
            <w:pPr>
              <w:spacing w:line="216" w:lineRule="auto"/>
              <w:rPr>
                <w:rFonts w:ascii="Times New Roman" w:hAnsi="Times New Roman" w:cs="Times New Roman"/>
                <w:sz w:val="16"/>
                <w:szCs w:val="16"/>
              </w:rPr>
            </w:pPr>
            <w:r>
              <w:rPr>
                <w:rFonts w:ascii="Times New Roman" w:eastAsia="Arial" w:hAnsi="Times New Roman" w:cs="Times New Roman"/>
                <w:sz w:val="16"/>
                <w:szCs w:val="16"/>
              </w:rPr>
              <w:t>6.000.000</w:t>
            </w:r>
          </w:p>
        </w:tc>
        <w:tc>
          <w:tcPr>
            <w:tcW w:w="1699" w:type="dxa"/>
            <w:tcMar>
              <w:top w:w="50" w:type="dxa"/>
              <w:left w:w="55" w:type="dxa"/>
              <w:bottom w:w="50" w:type="dxa"/>
              <w:right w:w="55" w:type="dxa"/>
            </w:tcMar>
          </w:tcPr>
          <w:p w14:paraId="72A0B7C1" w14:textId="7B234B69"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ИПА III</w:t>
            </w:r>
            <w:r>
              <w:rPr>
                <w:rFonts w:ascii="Times New Roman" w:hAnsi="Times New Roman" w:cs="Times New Roman"/>
                <w:sz w:val="16"/>
                <w:szCs w:val="16"/>
              </w:rPr>
              <w:br/>
            </w:r>
            <w:r>
              <w:rPr>
                <w:rFonts w:ascii="Times New Roman" w:eastAsia="Arial" w:hAnsi="Times New Roman" w:cs="Times New Roman"/>
                <w:sz w:val="16"/>
                <w:szCs w:val="16"/>
              </w:rPr>
              <w:t>Буџет на РСМ</w:t>
            </w:r>
          </w:p>
        </w:tc>
        <w:tc>
          <w:tcPr>
            <w:tcW w:w="3346" w:type="dxa"/>
            <w:vMerge/>
            <w:tcMar>
              <w:top w:w="50" w:type="dxa"/>
              <w:left w:w="55" w:type="dxa"/>
              <w:bottom w:w="50" w:type="dxa"/>
              <w:right w:w="55" w:type="dxa"/>
            </w:tcMar>
          </w:tcPr>
          <w:p w14:paraId="1AB655EF" w14:textId="77777777" w:rsidR="00FE200F" w:rsidRDefault="00FE200F">
            <w:pPr>
              <w:rPr>
                <w:rFonts w:ascii="Times New Roman" w:hAnsi="Times New Roman" w:cs="Times New Roman"/>
                <w:sz w:val="16"/>
                <w:szCs w:val="16"/>
              </w:rPr>
            </w:pPr>
          </w:p>
        </w:tc>
      </w:tr>
      <w:tr w:rsidR="00FE200F" w14:paraId="58946859" w14:textId="77777777">
        <w:trPr>
          <w:cantSplit/>
          <w:jc w:val="center"/>
        </w:trPr>
        <w:tc>
          <w:tcPr>
            <w:tcW w:w="1900" w:type="dxa"/>
            <w:vMerge/>
            <w:tcMar>
              <w:top w:w="50" w:type="dxa"/>
              <w:left w:w="55" w:type="dxa"/>
              <w:bottom w:w="50" w:type="dxa"/>
              <w:right w:w="55" w:type="dxa"/>
            </w:tcMar>
          </w:tcPr>
          <w:p w14:paraId="33F461B6" w14:textId="77777777" w:rsidR="00FE200F" w:rsidRDefault="00FE200F">
            <w:pPr>
              <w:rPr>
                <w:rFonts w:ascii="Times New Roman" w:hAnsi="Times New Roman" w:cs="Times New Roman"/>
                <w:sz w:val="16"/>
                <w:szCs w:val="16"/>
              </w:rPr>
            </w:pPr>
          </w:p>
        </w:tc>
        <w:tc>
          <w:tcPr>
            <w:tcW w:w="3202" w:type="dxa"/>
            <w:vAlign w:val="center"/>
          </w:tcPr>
          <w:p w14:paraId="41554308"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А1.2.1.3. Развој, интеграција и пилотирање на ВИ виртуелен асистент во постојниот национален портал uslugi.gov.mk</w:t>
            </w:r>
          </w:p>
        </w:tc>
        <w:tc>
          <w:tcPr>
            <w:tcW w:w="1899" w:type="dxa"/>
            <w:tcMar>
              <w:top w:w="50" w:type="dxa"/>
              <w:left w:w="55" w:type="dxa"/>
              <w:bottom w:w="50" w:type="dxa"/>
              <w:right w:w="55" w:type="dxa"/>
            </w:tcMar>
          </w:tcPr>
          <w:p w14:paraId="7EF9616B"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МДТ</w:t>
            </w:r>
          </w:p>
        </w:tc>
        <w:tc>
          <w:tcPr>
            <w:tcW w:w="1152" w:type="dxa"/>
            <w:tcMar>
              <w:top w:w="50" w:type="dxa"/>
              <w:left w:w="55" w:type="dxa"/>
              <w:bottom w:w="50" w:type="dxa"/>
              <w:right w:w="55" w:type="dxa"/>
            </w:tcMar>
          </w:tcPr>
          <w:p w14:paraId="401B4C11"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Q2 2027</w:t>
            </w:r>
          </w:p>
        </w:tc>
        <w:tc>
          <w:tcPr>
            <w:tcW w:w="1299" w:type="dxa"/>
            <w:tcMar>
              <w:top w:w="50" w:type="dxa"/>
              <w:left w:w="55" w:type="dxa"/>
              <w:bottom w:w="50" w:type="dxa"/>
              <w:right w:w="55" w:type="dxa"/>
            </w:tcMar>
          </w:tcPr>
          <w:p w14:paraId="72420E4D"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Q2 2028</w:t>
            </w:r>
          </w:p>
        </w:tc>
        <w:tc>
          <w:tcPr>
            <w:tcW w:w="1501" w:type="dxa"/>
            <w:tcMar>
              <w:top w:w="50" w:type="dxa"/>
              <w:left w:w="55" w:type="dxa"/>
              <w:bottom w:w="50" w:type="dxa"/>
              <w:right w:w="55" w:type="dxa"/>
            </w:tcMar>
          </w:tcPr>
          <w:p w14:paraId="6B2B8FEA" w14:textId="4A5A43A6" w:rsidR="00FE200F" w:rsidRDefault="00F418D6">
            <w:pPr>
              <w:spacing w:line="216" w:lineRule="auto"/>
              <w:rPr>
                <w:rFonts w:ascii="Times New Roman" w:hAnsi="Times New Roman" w:cs="Times New Roman"/>
                <w:sz w:val="16"/>
                <w:szCs w:val="16"/>
              </w:rPr>
            </w:pPr>
            <w:r>
              <w:rPr>
                <w:rFonts w:ascii="Times New Roman" w:eastAsia="Arial" w:hAnsi="Times New Roman" w:cs="Times New Roman"/>
                <w:sz w:val="16"/>
                <w:szCs w:val="16"/>
              </w:rPr>
              <w:t>6.000.000</w:t>
            </w:r>
          </w:p>
        </w:tc>
        <w:tc>
          <w:tcPr>
            <w:tcW w:w="1699" w:type="dxa"/>
            <w:tcMar>
              <w:top w:w="50" w:type="dxa"/>
              <w:left w:w="55" w:type="dxa"/>
              <w:bottom w:w="50" w:type="dxa"/>
              <w:right w:w="55" w:type="dxa"/>
            </w:tcMar>
          </w:tcPr>
          <w:p w14:paraId="013CEC16" w14:textId="4D46FDBF"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ИПА III</w:t>
            </w:r>
            <w:r>
              <w:rPr>
                <w:rFonts w:ascii="Times New Roman" w:hAnsi="Times New Roman" w:cs="Times New Roman"/>
                <w:sz w:val="16"/>
                <w:szCs w:val="16"/>
              </w:rPr>
              <w:br/>
            </w:r>
            <w:r>
              <w:rPr>
                <w:rFonts w:ascii="Times New Roman" w:eastAsia="Arial" w:hAnsi="Times New Roman" w:cs="Times New Roman"/>
                <w:sz w:val="16"/>
                <w:szCs w:val="16"/>
              </w:rPr>
              <w:t>Буџет на РСМ</w:t>
            </w:r>
          </w:p>
        </w:tc>
        <w:tc>
          <w:tcPr>
            <w:tcW w:w="3346" w:type="dxa"/>
            <w:vMerge/>
            <w:tcMar>
              <w:top w:w="50" w:type="dxa"/>
              <w:left w:w="55" w:type="dxa"/>
              <w:bottom w:w="50" w:type="dxa"/>
              <w:right w:w="55" w:type="dxa"/>
            </w:tcMar>
          </w:tcPr>
          <w:p w14:paraId="1939C702" w14:textId="77777777" w:rsidR="00FE200F" w:rsidRDefault="00FE200F">
            <w:pPr>
              <w:rPr>
                <w:rFonts w:ascii="Times New Roman" w:hAnsi="Times New Roman" w:cs="Times New Roman"/>
                <w:sz w:val="16"/>
                <w:szCs w:val="16"/>
              </w:rPr>
            </w:pPr>
          </w:p>
        </w:tc>
      </w:tr>
      <w:tr w:rsidR="00FE200F" w14:paraId="459CB0E8" w14:textId="77777777">
        <w:trPr>
          <w:cantSplit/>
          <w:jc w:val="center"/>
        </w:trPr>
        <w:tc>
          <w:tcPr>
            <w:tcW w:w="1900" w:type="dxa"/>
            <w:vMerge w:val="restart"/>
            <w:vAlign w:val="center"/>
          </w:tcPr>
          <w:p w14:paraId="507414C1"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b/>
                <w:sz w:val="16"/>
                <w:szCs w:val="16"/>
              </w:rPr>
              <w:t>М1.2.2. ВИ за автоматизација на рутински административни процеси</w:t>
            </w:r>
          </w:p>
        </w:tc>
        <w:tc>
          <w:tcPr>
            <w:tcW w:w="3202" w:type="dxa"/>
            <w:vAlign w:val="center"/>
          </w:tcPr>
          <w:p w14:paraId="104D205C"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А1.2.2.1. Идентификување на 3 процеси со висок потенцијал за автоматизација (IDP, класификација, предвидување)</w:t>
            </w:r>
          </w:p>
        </w:tc>
        <w:tc>
          <w:tcPr>
            <w:tcW w:w="1899" w:type="dxa"/>
            <w:vAlign w:val="center"/>
          </w:tcPr>
          <w:p w14:paraId="79DF20A4"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МДТ</w:t>
            </w:r>
            <w:r>
              <w:rPr>
                <w:rFonts w:ascii="Times New Roman" w:hAnsi="Times New Roman" w:cs="Times New Roman"/>
                <w:sz w:val="16"/>
                <w:szCs w:val="16"/>
              </w:rPr>
              <w:br/>
            </w:r>
            <w:r>
              <w:rPr>
                <w:rFonts w:ascii="Times New Roman" w:eastAsia="Arial" w:hAnsi="Times New Roman" w:cs="Times New Roman"/>
                <w:sz w:val="16"/>
                <w:szCs w:val="16"/>
              </w:rPr>
              <w:t>Пилот-институции</w:t>
            </w:r>
          </w:p>
        </w:tc>
        <w:tc>
          <w:tcPr>
            <w:tcW w:w="1152" w:type="dxa"/>
            <w:vAlign w:val="center"/>
          </w:tcPr>
          <w:p w14:paraId="7FF42EC2"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Q1 2028</w:t>
            </w:r>
          </w:p>
        </w:tc>
        <w:tc>
          <w:tcPr>
            <w:tcW w:w="1299" w:type="dxa"/>
            <w:vAlign w:val="center"/>
          </w:tcPr>
          <w:p w14:paraId="55B2B9FE"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Q2 2028</w:t>
            </w:r>
          </w:p>
        </w:tc>
        <w:tc>
          <w:tcPr>
            <w:tcW w:w="1501" w:type="dxa"/>
            <w:vAlign w:val="center"/>
          </w:tcPr>
          <w:p w14:paraId="4496264E" w14:textId="2129A238" w:rsidR="00FE200F" w:rsidRDefault="00F418D6">
            <w:pPr>
              <w:spacing w:line="216" w:lineRule="auto"/>
              <w:rPr>
                <w:rFonts w:ascii="Times New Roman" w:hAnsi="Times New Roman" w:cs="Times New Roman"/>
                <w:sz w:val="16"/>
                <w:szCs w:val="16"/>
              </w:rPr>
            </w:pPr>
            <w:r>
              <w:rPr>
                <w:rFonts w:ascii="Times New Roman" w:eastAsia="Arial" w:hAnsi="Times New Roman" w:cs="Times New Roman"/>
                <w:sz w:val="16"/>
                <w:szCs w:val="16"/>
              </w:rPr>
              <w:t>0</w:t>
            </w:r>
          </w:p>
        </w:tc>
        <w:tc>
          <w:tcPr>
            <w:tcW w:w="1699" w:type="dxa"/>
            <w:vAlign w:val="center"/>
          </w:tcPr>
          <w:p w14:paraId="4F4860CB"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ИПА III</w:t>
            </w:r>
            <w:r>
              <w:rPr>
                <w:rFonts w:ascii="Times New Roman" w:hAnsi="Times New Roman" w:cs="Times New Roman"/>
                <w:sz w:val="16"/>
                <w:szCs w:val="16"/>
              </w:rPr>
              <w:br/>
            </w:r>
            <w:r>
              <w:rPr>
                <w:rFonts w:ascii="Times New Roman" w:eastAsia="Arial" w:hAnsi="Times New Roman" w:cs="Times New Roman"/>
                <w:sz w:val="16"/>
                <w:szCs w:val="16"/>
              </w:rPr>
              <w:t>Буџет на РСМ</w:t>
            </w:r>
          </w:p>
        </w:tc>
        <w:tc>
          <w:tcPr>
            <w:tcW w:w="3346" w:type="dxa"/>
            <w:vMerge w:val="restart"/>
            <w:tcMar>
              <w:top w:w="35" w:type="dxa"/>
              <w:left w:w="45" w:type="dxa"/>
              <w:bottom w:w="35" w:type="dxa"/>
              <w:right w:w="45" w:type="dxa"/>
            </w:tcMar>
            <w:vAlign w:val="center"/>
          </w:tcPr>
          <w:p w14:paraId="26B61926"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 xml:space="preserve">Показател на </w:t>
            </w:r>
            <w:r>
              <w:rPr>
                <w:rFonts w:ascii="Times New Roman" w:eastAsia="Arial" w:hAnsi="Times New Roman" w:cs="Times New Roman"/>
                <w:sz w:val="16"/>
                <w:szCs w:val="16"/>
              </w:rPr>
              <w:t>резултат: Автоматизирани административни процеси во пилот-институции.</w:t>
            </w:r>
          </w:p>
          <w:p w14:paraId="32EF92A2"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Почетна вредност (2027): 0 процеси и 0 институции.</w:t>
            </w:r>
          </w:p>
          <w:p w14:paraId="2BD923CC"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lastRenderedPageBreak/>
              <w:t xml:space="preserve">Преодна вредност (2028): 2 процеси во 2 институции; најмалку 10% намалено време за обработка. </w:t>
            </w:r>
          </w:p>
          <w:p w14:paraId="443F25DF" w14:textId="77777777" w:rsidR="00FE200F" w:rsidRDefault="00E77CAF">
            <w:pPr>
              <w:spacing w:line="216" w:lineRule="auto"/>
              <w:rPr>
                <w:rFonts w:ascii="Times New Roman" w:hAnsi="Times New Roman" w:cs="Times New Roman"/>
                <w:sz w:val="16"/>
                <w:szCs w:val="16"/>
                <w:lang w:val="mk-MK"/>
              </w:rPr>
            </w:pPr>
            <w:r>
              <w:rPr>
                <w:rFonts w:ascii="Times New Roman" w:eastAsia="Arial" w:hAnsi="Times New Roman" w:cs="Times New Roman"/>
                <w:sz w:val="16"/>
                <w:szCs w:val="16"/>
              </w:rPr>
              <w:t>Крајна вредност (2029): 3 процеси во 3 и</w:t>
            </w:r>
            <w:r>
              <w:rPr>
                <w:rFonts w:ascii="Times New Roman" w:eastAsia="Arial" w:hAnsi="Times New Roman" w:cs="Times New Roman"/>
                <w:sz w:val="16"/>
                <w:szCs w:val="16"/>
              </w:rPr>
              <w:t>нституции; најмалку 20% намалено време за обработка.</w:t>
            </w:r>
          </w:p>
        </w:tc>
      </w:tr>
      <w:tr w:rsidR="00FE200F" w14:paraId="36CFD8BF" w14:textId="77777777">
        <w:trPr>
          <w:cantSplit/>
          <w:jc w:val="center"/>
        </w:trPr>
        <w:tc>
          <w:tcPr>
            <w:tcW w:w="1900" w:type="dxa"/>
            <w:vMerge/>
            <w:tcMar>
              <w:top w:w="50" w:type="dxa"/>
              <w:left w:w="55" w:type="dxa"/>
              <w:bottom w:w="50" w:type="dxa"/>
              <w:right w:w="55" w:type="dxa"/>
            </w:tcMar>
          </w:tcPr>
          <w:p w14:paraId="273B8668" w14:textId="77777777" w:rsidR="00FE200F" w:rsidRDefault="00FE200F">
            <w:pPr>
              <w:rPr>
                <w:rFonts w:ascii="Times New Roman" w:hAnsi="Times New Roman" w:cs="Times New Roman"/>
                <w:sz w:val="16"/>
                <w:szCs w:val="16"/>
              </w:rPr>
            </w:pPr>
          </w:p>
        </w:tc>
        <w:tc>
          <w:tcPr>
            <w:tcW w:w="3202" w:type="dxa"/>
            <w:vAlign w:val="center"/>
          </w:tcPr>
          <w:p w14:paraId="319FFA41"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А1.2.2.2. Имплементација на ВИ решенија во пилот-институции</w:t>
            </w:r>
          </w:p>
        </w:tc>
        <w:tc>
          <w:tcPr>
            <w:tcW w:w="1899" w:type="dxa"/>
            <w:tcMar>
              <w:top w:w="50" w:type="dxa"/>
              <w:left w:w="55" w:type="dxa"/>
              <w:bottom w:w="50" w:type="dxa"/>
              <w:right w:w="55" w:type="dxa"/>
            </w:tcMar>
          </w:tcPr>
          <w:p w14:paraId="61506B79"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МДТ</w:t>
            </w:r>
            <w:r>
              <w:rPr>
                <w:rFonts w:ascii="Times New Roman" w:hAnsi="Times New Roman" w:cs="Times New Roman"/>
                <w:sz w:val="16"/>
                <w:szCs w:val="16"/>
              </w:rPr>
              <w:br/>
            </w:r>
            <w:r>
              <w:rPr>
                <w:rFonts w:ascii="Times New Roman" w:eastAsia="Arial" w:hAnsi="Times New Roman" w:cs="Times New Roman"/>
                <w:sz w:val="16"/>
                <w:szCs w:val="16"/>
              </w:rPr>
              <w:t>Пилот-институции</w:t>
            </w:r>
          </w:p>
        </w:tc>
        <w:tc>
          <w:tcPr>
            <w:tcW w:w="1152" w:type="dxa"/>
            <w:tcMar>
              <w:top w:w="50" w:type="dxa"/>
              <w:left w:w="55" w:type="dxa"/>
              <w:bottom w:w="50" w:type="dxa"/>
              <w:right w:w="55" w:type="dxa"/>
            </w:tcMar>
          </w:tcPr>
          <w:p w14:paraId="6537F552"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Q1 2028</w:t>
            </w:r>
          </w:p>
        </w:tc>
        <w:tc>
          <w:tcPr>
            <w:tcW w:w="1299" w:type="dxa"/>
            <w:tcMar>
              <w:top w:w="50" w:type="dxa"/>
              <w:left w:w="55" w:type="dxa"/>
              <w:bottom w:w="50" w:type="dxa"/>
              <w:right w:w="55" w:type="dxa"/>
            </w:tcMar>
          </w:tcPr>
          <w:p w14:paraId="2ECB2800"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Q2 2028</w:t>
            </w:r>
          </w:p>
        </w:tc>
        <w:tc>
          <w:tcPr>
            <w:tcW w:w="1501" w:type="dxa"/>
            <w:tcMar>
              <w:top w:w="50" w:type="dxa"/>
              <w:left w:w="55" w:type="dxa"/>
              <w:bottom w:w="50" w:type="dxa"/>
              <w:right w:w="55" w:type="dxa"/>
            </w:tcMar>
          </w:tcPr>
          <w:p w14:paraId="42CA6057" w14:textId="3C4120A5" w:rsidR="00FE200F" w:rsidRDefault="00F418D6">
            <w:pPr>
              <w:spacing w:line="216" w:lineRule="auto"/>
              <w:rPr>
                <w:rFonts w:ascii="Times New Roman" w:hAnsi="Times New Roman" w:cs="Times New Roman"/>
                <w:sz w:val="16"/>
                <w:szCs w:val="16"/>
              </w:rPr>
            </w:pPr>
            <w:r>
              <w:rPr>
                <w:rFonts w:ascii="Times New Roman" w:eastAsia="Arial" w:hAnsi="Times New Roman" w:cs="Times New Roman"/>
                <w:sz w:val="16"/>
                <w:szCs w:val="16"/>
              </w:rPr>
              <w:t>4.000.000</w:t>
            </w:r>
          </w:p>
        </w:tc>
        <w:tc>
          <w:tcPr>
            <w:tcW w:w="1699" w:type="dxa"/>
            <w:tcMar>
              <w:top w:w="50" w:type="dxa"/>
              <w:left w:w="55" w:type="dxa"/>
              <w:bottom w:w="50" w:type="dxa"/>
              <w:right w:w="55" w:type="dxa"/>
            </w:tcMar>
          </w:tcPr>
          <w:p w14:paraId="68DEC95D"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ИПА III</w:t>
            </w:r>
            <w:r>
              <w:rPr>
                <w:rFonts w:ascii="Times New Roman" w:hAnsi="Times New Roman" w:cs="Times New Roman"/>
                <w:sz w:val="16"/>
                <w:szCs w:val="16"/>
              </w:rPr>
              <w:br/>
            </w:r>
            <w:r>
              <w:rPr>
                <w:rFonts w:ascii="Times New Roman" w:eastAsia="Arial" w:hAnsi="Times New Roman" w:cs="Times New Roman"/>
                <w:sz w:val="16"/>
                <w:szCs w:val="16"/>
              </w:rPr>
              <w:t>Буџет на РСМ</w:t>
            </w:r>
          </w:p>
        </w:tc>
        <w:tc>
          <w:tcPr>
            <w:tcW w:w="3346" w:type="dxa"/>
            <w:vMerge/>
            <w:tcMar>
              <w:top w:w="50" w:type="dxa"/>
              <w:left w:w="55" w:type="dxa"/>
              <w:bottom w:w="50" w:type="dxa"/>
              <w:right w:w="55" w:type="dxa"/>
            </w:tcMar>
          </w:tcPr>
          <w:p w14:paraId="45DFD3DE" w14:textId="77777777" w:rsidR="00FE200F" w:rsidRDefault="00FE200F">
            <w:pPr>
              <w:rPr>
                <w:rFonts w:ascii="Times New Roman" w:hAnsi="Times New Roman" w:cs="Times New Roman"/>
                <w:sz w:val="16"/>
                <w:szCs w:val="16"/>
              </w:rPr>
            </w:pPr>
          </w:p>
        </w:tc>
      </w:tr>
      <w:tr w:rsidR="00FE200F" w14:paraId="3D9B40E4" w14:textId="77777777">
        <w:trPr>
          <w:cantSplit/>
          <w:jc w:val="center"/>
        </w:trPr>
        <w:tc>
          <w:tcPr>
            <w:tcW w:w="1900" w:type="dxa"/>
            <w:vMerge/>
            <w:tcMar>
              <w:top w:w="50" w:type="dxa"/>
              <w:left w:w="55" w:type="dxa"/>
              <w:bottom w:w="50" w:type="dxa"/>
              <w:right w:w="55" w:type="dxa"/>
            </w:tcMar>
          </w:tcPr>
          <w:p w14:paraId="5EBADCD8" w14:textId="77777777" w:rsidR="00FE200F" w:rsidRDefault="00FE200F">
            <w:pPr>
              <w:rPr>
                <w:rFonts w:ascii="Times New Roman" w:hAnsi="Times New Roman" w:cs="Times New Roman"/>
                <w:sz w:val="16"/>
                <w:szCs w:val="16"/>
              </w:rPr>
            </w:pPr>
          </w:p>
        </w:tc>
        <w:tc>
          <w:tcPr>
            <w:tcW w:w="3202" w:type="dxa"/>
            <w:vAlign w:val="center"/>
          </w:tcPr>
          <w:p w14:paraId="41B732EB"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А1.2.2.3. Евалуација и скалирање. Пред почеток на секој јавен ВИ пилот</w:t>
            </w:r>
            <w:r>
              <w:rPr>
                <w:rFonts w:ascii="Times New Roman" w:eastAsia="Arial" w:hAnsi="Times New Roman" w:cs="Times New Roman"/>
                <w:sz w:val="16"/>
                <w:szCs w:val="16"/>
              </w:rPr>
              <w:t xml:space="preserve"> се усвојува краток протокол што ја определува целта, правниот основ, категоријата на ризик, засегнатите лица, податоците, одговорното лице, човечкиот надзор, начинот на известување, каналот за приговор, критериумите за успех и критериумите за прекин. За н</w:t>
            </w:r>
            <w:r>
              <w:rPr>
                <w:rFonts w:ascii="Times New Roman" w:eastAsia="Arial" w:hAnsi="Times New Roman" w:cs="Times New Roman"/>
                <w:sz w:val="16"/>
                <w:szCs w:val="16"/>
              </w:rPr>
              <w:t xml:space="preserve">искоризичен пилот е доволен скратен протокол и временски определено тестирање со основни мерки за безбедност и заштита на податоците. За пилот со висок ризик или значајно влијание врз права, пред пуштање во продукција се обезбедуваат важечки правен основ, </w:t>
            </w:r>
            <w:r>
              <w:rPr>
                <w:rFonts w:ascii="Times New Roman" w:eastAsia="Arial" w:hAnsi="Times New Roman" w:cs="Times New Roman"/>
                <w:sz w:val="16"/>
                <w:szCs w:val="16"/>
              </w:rPr>
              <w:t>подетална проценка, потребните одобренија, тестирање за точност, пристрасност и безбедност и соодветно независно разгледување. Евалуацијата завршува со образложена одлука: скалирај, измени или прекини.</w:t>
            </w:r>
          </w:p>
        </w:tc>
        <w:tc>
          <w:tcPr>
            <w:tcW w:w="1899" w:type="dxa"/>
            <w:tcMar>
              <w:top w:w="50" w:type="dxa"/>
              <w:left w:w="55" w:type="dxa"/>
              <w:bottom w:w="50" w:type="dxa"/>
              <w:right w:w="55" w:type="dxa"/>
            </w:tcMar>
          </w:tcPr>
          <w:p w14:paraId="2C294327"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МДТ</w:t>
            </w:r>
            <w:r>
              <w:rPr>
                <w:rFonts w:ascii="Times New Roman" w:hAnsi="Times New Roman" w:cs="Times New Roman"/>
                <w:sz w:val="16"/>
                <w:szCs w:val="16"/>
              </w:rPr>
              <w:br/>
            </w:r>
            <w:r>
              <w:rPr>
                <w:rFonts w:ascii="Times New Roman" w:eastAsia="Arial" w:hAnsi="Times New Roman" w:cs="Times New Roman"/>
                <w:sz w:val="16"/>
                <w:szCs w:val="16"/>
              </w:rPr>
              <w:t>Пилот-институции</w:t>
            </w:r>
          </w:p>
        </w:tc>
        <w:tc>
          <w:tcPr>
            <w:tcW w:w="1152" w:type="dxa"/>
            <w:tcMar>
              <w:top w:w="50" w:type="dxa"/>
              <w:left w:w="55" w:type="dxa"/>
              <w:bottom w:w="50" w:type="dxa"/>
              <w:right w:w="55" w:type="dxa"/>
            </w:tcMar>
          </w:tcPr>
          <w:p w14:paraId="46020A95"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Q1 2028</w:t>
            </w:r>
          </w:p>
        </w:tc>
        <w:tc>
          <w:tcPr>
            <w:tcW w:w="1299" w:type="dxa"/>
            <w:tcMar>
              <w:top w:w="50" w:type="dxa"/>
              <w:left w:w="55" w:type="dxa"/>
              <w:bottom w:w="50" w:type="dxa"/>
              <w:right w:w="55" w:type="dxa"/>
            </w:tcMar>
          </w:tcPr>
          <w:p w14:paraId="575CC0AE"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Q2 2028</w:t>
            </w:r>
          </w:p>
        </w:tc>
        <w:tc>
          <w:tcPr>
            <w:tcW w:w="1501" w:type="dxa"/>
            <w:tcMar>
              <w:top w:w="50" w:type="dxa"/>
              <w:left w:w="55" w:type="dxa"/>
              <w:bottom w:w="50" w:type="dxa"/>
              <w:right w:w="55" w:type="dxa"/>
            </w:tcMar>
          </w:tcPr>
          <w:p w14:paraId="1C58C927" w14:textId="4EA799DD" w:rsidR="00FE200F" w:rsidRDefault="00F418D6">
            <w:pPr>
              <w:spacing w:line="216" w:lineRule="auto"/>
              <w:rPr>
                <w:rFonts w:ascii="Times New Roman" w:hAnsi="Times New Roman" w:cs="Times New Roman"/>
                <w:sz w:val="16"/>
                <w:szCs w:val="16"/>
              </w:rPr>
            </w:pPr>
            <w:r>
              <w:rPr>
                <w:rFonts w:ascii="Times New Roman" w:eastAsia="Arial" w:hAnsi="Times New Roman" w:cs="Times New Roman"/>
                <w:sz w:val="16"/>
                <w:szCs w:val="16"/>
              </w:rPr>
              <w:t>4.000.000</w:t>
            </w:r>
          </w:p>
        </w:tc>
        <w:tc>
          <w:tcPr>
            <w:tcW w:w="1699" w:type="dxa"/>
            <w:tcMar>
              <w:top w:w="50" w:type="dxa"/>
              <w:left w:w="55" w:type="dxa"/>
              <w:bottom w:w="50" w:type="dxa"/>
              <w:right w:w="55" w:type="dxa"/>
            </w:tcMar>
          </w:tcPr>
          <w:p w14:paraId="15298CE6"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ИПА III</w:t>
            </w:r>
            <w:r>
              <w:rPr>
                <w:rFonts w:ascii="Times New Roman" w:hAnsi="Times New Roman" w:cs="Times New Roman"/>
                <w:sz w:val="16"/>
                <w:szCs w:val="16"/>
              </w:rPr>
              <w:br/>
            </w:r>
            <w:r>
              <w:rPr>
                <w:rFonts w:ascii="Times New Roman" w:eastAsia="Arial" w:hAnsi="Times New Roman" w:cs="Times New Roman"/>
                <w:sz w:val="16"/>
                <w:szCs w:val="16"/>
              </w:rPr>
              <w:t>Буџет на РСМ</w:t>
            </w:r>
          </w:p>
        </w:tc>
        <w:tc>
          <w:tcPr>
            <w:tcW w:w="3346" w:type="dxa"/>
            <w:vMerge/>
            <w:tcMar>
              <w:top w:w="50" w:type="dxa"/>
              <w:left w:w="55" w:type="dxa"/>
              <w:bottom w:w="50" w:type="dxa"/>
              <w:right w:w="55" w:type="dxa"/>
            </w:tcMar>
          </w:tcPr>
          <w:p w14:paraId="760F2214" w14:textId="77777777" w:rsidR="00FE200F" w:rsidRDefault="00FE200F">
            <w:pPr>
              <w:rPr>
                <w:rFonts w:ascii="Times New Roman" w:hAnsi="Times New Roman" w:cs="Times New Roman"/>
                <w:sz w:val="16"/>
                <w:szCs w:val="16"/>
              </w:rPr>
            </w:pPr>
          </w:p>
        </w:tc>
      </w:tr>
      <w:tr w:rsidR="00FE200F" w14:paraId="7A836253" w14:textId="77777777">
        <w:trPr>
          <w:cantSplit/>
          <w:jc w:val="center"/>
        </w:trPr>
        <w:tc>
          <w:tcPr>
            <w:tcW w:w="8153" w:type="dxa"/>
            <w:gridSpan w:val="4"/>
            <w:shd w:val="clear" w:color="auto" w:fill="E7E6E6"/>
            <w:vAlign w:val="center"/>
          </w:tcPr>
          <w:p w14:paraId="08154CC3"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b/>
                <w:sz w:val="16"/>
                <w:szCs w:val="16"/>
              </w:rPr>
              <w:lastRenderedPageBreak/>
              <w:t>Посебна цел 1.3. ВИ капацитети и иновативни јавни набавки</w:t>
            </w:r>
          </w:p>
        </w:tc>
        <w:tc>
          <w:tcPr>
            <w:tcW w:w="7845" w:type="dxa"/>
            <w:gridSpan w:val="4"/>
            <w:shd w:val="clear" w:color="auto" w:fill="F2F2F2"/>
            <w:vAlign w:val="center"/>
          </w:tcPr>
          <w:p w14:paraId="342E97D4"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 xml:space="preserve">ПОКАЗАТЕЛ НА ИСХОД: Зајакнати ВИ капацитети во јавната администрација и функционален GovTech механизам.Почетна вредност (2027): 0 обучени службеници, 0 сертифицирани шампиони и 0 </w:t>
            </w:r>
            <w:r>
              <w:rPr>
                <w:rFonts w:ascii="Times New Roman" w:eastAsia="Arial" w:hAnsi="Times New Roman" w:cs="Times New Roman"/>
                <w:sz w:val="16"/>
                <w:szCs w:val="16"/>
              </w:rPr>
              <w:t>GovTech предизвици.Преодна вредност (2028): 1.1 обучени службеници, 25 шампиони и најмалку 1 GovTech предизвици. Крајна вредност (2029): 1.000 обучени службеници, 50 шампиони и најмалку 2 GovTech предизвици.</w:t>
            </w:r>
          </w:p>
        </w:tc>
      </w:tr>
      <w:tr w:rsidR="00FE200F" w14:paraId="0A3C8F1F" w14:textId="77777777">
        <w:trPr>
          <w:cantSplit/>
          <w:jc w:val="center"/>
        </w:trPr>
        <w:tc>
          <w:tcPr>
            <w:tcW w:w="1900" w:type="dxa"/>
            <w:vMerge w:val="restart"/>
            <w:vAlign w:val="center"/>
          </w:tcPr>
          <w:p w14:paraId="1D6000D7"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b/>
                <w:sz w:val="16"/>
                <w:szCs w:val="16"/>
              </w:rPr>
              <w:t xml:space="preserve">М1.3.1. Програма за ВИ писменост и обука на </w:t>
            </w:r>
            <w:r>
              <w:rPr>
                <w:rFonts w:ascii="Times New Roman" w:eastAsia="Arial" w:hAnsi="Times New Roman" w:cs="Times New Roman"/>
                <w:b/>
                <w:sz w:val="16"/>
                <w:szCs w:val="16"/>
              </w:rPr>
              <w:t>државни службеници</w:t>
            </w:r>
          </w:p>
        </w:tc>
        <w:tc>
          <w:tcPr>
            <w:tcW w:w="3202" w:type="dxa"/>
            <w:vAlign w:val="center"/>
          </w:tcPr>
          <w:p w14:paraId="070D0729"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А1.3.1.1. Развој на модуларен курикулум за ВИ писменост (основно, средно, напредно ниво), со разграничување на потребите на службениците-корисници, сопствениците на услуги, управувачите со податоци, правните и набавните службеници и техн</w:t>
            </w:r>
            <w:r>
              <w:rPr>
                <w:rFonts w:ascii="Times New Roman" w:eastAsia="Arial" w:hAnsi="Times New Roman" w:cs="Times New Roman"/>
                <w:sz w:val="16"/>
                <w:szCs w:val="16"/>
              </w:rPr>
              <w:t>ичките проверувачи. Основниот модул опфаќа ризици, заштита на личните податоци, човечки надзор, проверка и корекција на погрешен излез од ВИ и ескалација на ризик. Содржи и придружно внатрешно упатство за одговорна употреба на генеративна ВИ во јавната адм</w:t>
            </w:r>
            <w:r>
              <w:rPr>
                <w:rFonts w:ascii="Times New Roman" w:eastAsia="Arial" w:hAnsi="Times New Roman" w:cs="Times New Roman"/>
                <w:sz w:val="16"/>
                <w:szCs w:val="16"/>
              </w:rPr>
              <w:t>инистрација, вклучително класи на податоци што не смеат да се внесуваат во неодобрена надворешна алатка, човечка проверка пред службен одговор или одлука и пријавување инциденти.</w:t>
            </w:r>
          </w:p>
        </w:tc>
        <w:tc>
          <w:tcPr>
            <w:tcW w:w="1899" w:type="dxa"/>
            <w:vAlign w:val="center"/>
          </w:tcPr>
          <w:p w14:paraId="19D85536"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МДТ; Економски факултет (ECCF), ФИНКИ, ФЕИТ и УКИМ; Brainster; УКЛО; УГД; ЦОВ</w:t>
            </w:r>
          </w:p>
        </w:tc>
        <w:tc>
          <w:tcPr>
            <w:tcW w:w="1152" w:type="dxa"/>
            <w:vAlign w:val="center"/>
          </w:tcPr>
          <w:p w14:paraId="1B49BDA1"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Q3 2027</w:t>
            </w:r>
          </w:p>
        </w:tc>
        <w:tc>
          <w:tcPr>
            <w:tcW w:w="1299" w:type="dxa"/>
            <w:vAlign w:val="center"/>
          </w:tcPr>
          <w:p w14:paraId="76FC8820"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Q4 2029</w:t>
            </w:r>
          </w:p>
        </w:tc>
        <w:tc>
          <w:tcPr>
            <w:tcW w:w="1501" w:type="dxa"/>
            <w:vAlign w:val="center"/>
          </w:tcPr>
          <w:p w14:paraId="50FF2E22" w14:textId="66A8FE1B" w:rsidR="00FE200F" w:rsidRDefault="00F418D6">
            <w:pPr>
              <w:spacing w:line="216" w:lineRule="auto"/>
              <w:rPr>
                <w:rFonts w:ascii="Times New Roman" w:hAnsi="Times New Roman" w:cs="Times New Roman"/>
                <w:sz w:val="16"/>
                <w:szCs w:val="16"/>
              </w:rPr>
            </w:pPr>
            <w:r>
              <w:rPr>
                <w:rFonts w:ascii="Times New Roman" w:eastAsia="Arial" w:hAnsi="Times New Roman" w:cs="Times New Roman"/>
                <w:sz w:val="16"/>
                <w:szCs w:val="16"/>
              </w:rPr>
              <w:t>3.000.000</w:t>
            </w:r>
          </w:p>
        </w:tc>
        <w:tc>
          <w:tcPr>
            <w:tcW w:w="1699" w:type="dxa"/>
            <w:vAlign w:val="center"/>
          </w:tcPr>
          <w:p w14:paraId="6899A797"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Донатори</w:t>
            </w:r>
            <w:r>
              <w:rPr>
                <w:rFonts w:ascii="Times New Roman" w:hAnsi="Times New Roman" w:cs="Times New Roman"/>
                <w:sz w:val="16"/>
                <w:szCs w:val="16"/>
              </w:rPr>
              <w:br/>
            </w:r>
            <w:r>
              <w:rPr>
                <w:rFonts w:ascii="Times New Roman" w:eastAsia="Arial" w:hAnsi="Times New Roman" w:cs="Times New Roman"/>
                <w:sz w:val="16"/>
                <w:szCs w:val="16"/>
              </w:rPr>
              <w:t>Буџет на РСМ</w:t>
            </w:r>
          </w:p>
        </w:tc>
        <w:tc>
          <w:tcPr>
            <w:tcW w:w="3346" w:type="dxa"/>
            <w:vMerge w:val="restart"/>
            <w:tcMar>
              <w:top w:w="35" w:type="dxa"/>
              <w:left w:w="45" w:type="dxa"/>
              <w:bottom w:w="35" w:type="dxa"/>
              <w:right w:w="45" w:type="dxa"/>
            </w:tcMar>
            <w:vAlign w:val="center"/>
          </w:tcPr>
          <w:p w14:paraId="69BF3281"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Показател на резултат: Обучени државни службеници и сертифицирани ВИ шампиони.</w:t>
            </w:r>
          </w:p>
          <w:p w14:paraId="67017938"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Почетна вредност (2027): 0 обучени и 0 сертифицирани шампиони.</w:t>
            </w:r>
          </w:p>
          <w:p w14:paraId="3E944AEF"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 xml:space="preserve">Преодна вредност (2028): 1.1 обучени службеници и 25 шампиони. </w:t>
            </w:r>
          </w:p>
          <w:p w14:paraId="5A0B9AC0" w14:textId="77777777" w:rsidR="00FE200F" w:rsidRDefault="00E77CAF">
            <w:pPr>
              <w:spacing w:line="216" w:lineRule="auto"/>
              <w:rPr>
                <w:rFonts w:ascii="Times New Roman" w:hAnsi="Times New Roman" w:cs="Times New Roman"/>
                <w:sz w:val="16"/>
                <w:szCs w:val="16"/>
                <w:lang w:val="mk-MK"/>
              </w:rPr>
            </w:pPr>
            <w:r>
              <w:rPr>
                <w:rFonts w:ascii="Times New Roman" w:eastAsia="Arial" w:hAnsi="Times New Roman" w:cs="Times New Roman"/>
                <w:sz w:val="16"/>
                <w:szCs w:val="16"/>
              </w:rPr>
              <w:t>Крајна вредност (2029): 1.000 обучени службеници и 50 шампиони.</w:t>
            </w:r>
          </w:p>
        </w:tc>
      </w:tr>
      <w:tr w:rsidR="00FE200F" w14:paraId="537528DF" w14:textId="77777777">
        <w:trPr>
          <w:cantSplit/>
          <w:jc w:val="center"/>
        </w:trPr>
        <w:tc>
          <w:tcPr>
            <w:tcW w:w="1900" w:type="dxa"/>
            <w:vMerge/>
            <w:tcMar>
              <w:top w:w="50" w:type="dxa"/>
              <w:left w:w="55" w:type="dxa"/>
              <w:bottom w:w="50" w:type="dxa"/>
              <w:right w:w="55" w:type="dxa"/>
            </w:tcMar>
          </w:tcPr>
          <w:p w14:paraId="504B43CB" w14:textId="77777777" w:rsidR="00FE200F" w:rsidRDefault="00FE200F">
            <w:pPr>
              <w:rPr>
                <w:rFonts w:ascii="Times New Roman" w:hAnsi="Times New Roman" w:cs="Times New Roman"/>
                <w:sz w:val="16"/>
                <w:szCs w:val="16"/>
              </w:rPr>
            </w:pPr>
          </w:p>
        </w:tc>
        <w:tc>
          <w:tcPr>
            <w:tcW w:w="3202" w:type="dxa"/>
            <w:vAlign w:val="center"/>
          </w:tcPr>
          <w:p w14:paraId="7274B10A"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А1.3.1.2. Спроведување на обуки за минимум 1.000 службеници до 2029</w:t>
            </w:r>
          </w:p>
        </w:tc>
        <w:tc>
          <w:tcPr>
            <w:tcW w:w="1899" w:type="dxa"/>
            <w:tcMar>
              <w:top w:w="50" w:type="dxa"/>
              <w:left w:w="55" w:type="dxa"/>
              <w:bottom w:w="50" w:type="dxa"/>
              <w:right w:w="55" w:type="dxa"/>
            </w:tcMar>
          </w:tcPr>
          <w:p w14:paraId="01B8B4DD"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МДТ; Економски факултет (ECCF), ФИНКИ, ФЕИТ и УКИМ; Brainster; УКЛО; УГД; ЦОВ</w:t>
            </w:r>
          </w:p>
        </w:tc>
        <w:tc>
          <w:tcPr>
            <w:tcW w:w="1152" w:type="dxa"/>
            <w:tcMar>
              <w:top w:w="50" w:type="dxa"/>
              <w:left w:w="55" w:type="dxa"/>
              <w:bottom w:w="50" w:type="dxa"/>
              <w:right w:w="55" w:type="dxa"/>
            </w:tcMar>
          </w:tcPr>
          <w:p w14:paraId="25FF28E0"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Q3 2027</w:t>
            </w:r>
          </w:p>
        </w:tc>
        <w:tc>
          <w:tcPr>
            <w:tcW w:w="1299" w:type="dxa"/>
            <w:tcMar>
              <w:top w:w="50" w:type="dxa"/>
              <w:left w:w="55" w:type="dxa"/>
              <w:bottom w:w="50" w:type="dxa"/>
              <w:right w:w="55" w:type="dxa"/>
            </w:tcMar>
          </w:tcPr>
          <w:p w14:paraId="48CFE1C2"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Q4 2029</w:t>
            </w:r>
          </w:p>
        </w:tc>
        <w:tc>
          <w:tcPr>
            <w:tcW w:w="1501" w:type="dxa"/>
            <w:tcMar>
              <w:top w:w="50" w:type="dxa"/>
              <w:left w:w="55" w:type="dxa"/>
              <w:bottom w:w="50" w:type="dxa"/>
              <w:right w:w="55" w:type="dxa"/>
            </w:tcMar>
          </w:tcPr>
          <w:p w14:paraId="6A14ABC9" w14:textId="01070976" w:rsidR="00FE200F" w:rsidRDefault="00F418D6">
            <w:pPr>
              <w:spacing w:line="216" w:lineRule="auto"/>
              <w:rPr>
                <w:rFonts w:ascii="Times New Roman" w:hAnsi="Times New Roman" w:cs="Times New Roman"/>
                <w:sz w:val="16"/>
                <w:szCs w:val="16"/>
              </w:rPr>
            </w:pPr>
            <w:r>
              <w:rPr>
                <w:rFonts w:ascii="Times New Roman" w:eastAsia="Arial" w:hAnsi="Times New Roman" w:cs="Times New Roman"/>
                <w:sz w:val="16"/>
                <w:szCs w:val="16"/>
              </w:rPr>
              <w:t>3.000.000</w:t>
            </w:r>
          </w:p>
        </w:tc>
        <w:tc>
          <w:tcPr>
            <w:tcW w:w="1699" w:type="dxa"/>
            <w:tcMar>
              <w:top w:w="50" w:type="dxa"/>
              <w:left w:w="55" w:type="dxa"/>
              <w:bottom w:w="50" w:type="dxa"/>
              <w:right w:w="55" w:type="dxa"/>
            </w:tcMar>
          </w:tcPr>
          <w:p w14:paraId="360F35D5"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Донатори</w:t>
            </w:r>
            <w:r>
              <w:rPr>
                <w:rFonts w:ascii="Times New Roman" w:hAnsi="Times New Roman" w:cs="Times New Roman"/>
                <w:sz w:val="16"/>
                <w:szCs w:val="16"/>
              </w:rPr>
              <w:br/>
            </w:r>
            <w:r>
              <w:rPr>
                <w:rFonts w:ascii="Times New Roman" w:eastAsia="Arial" w:hAnsi="Times New Roman" w:cs="Times New Roman"/>
                <w:sz w:val="16"/>
                <w:szCs w:val="16"/>
              </w:rPr>
              <w:t xml:space="preserve">Буџет на </w:t>
            </w:r>
            <w:r>
              <w:rPr>
                <w:rFonts w:ascii="Times New Roman" w:eastAsia="Arial" w:hAnsi="Times New Roman" w:cs="Times New Roman"/>
                <w:sz w:val="16"/>
                <w:szCs w:val="16"/>
              </w:rPr>
              <w:t>РСМ</w:t>
            </w:r>
          </w:p>
        </w:tc>
        <w:tc>
          <w:tcPr>
            <w:tcW w:w="3346" w:type="dxa"/>
            <w:vMerge/>
            <w:tcMar>
              <w:top w:w="50" w:type="dxa"/>
              <w:left w:w="55" w:type="dxa"/>
              <w:bottom w:w="50" w:type="dxa"/>
              <w:right w:w="55" w:type="dxa"/>
            </w:tcMar>
          </w:tcPr>
          <w:p w14:paraId="0090F0DE" w14:textId="77777777" w:rsidR="00FE200F" w:rsidRDefault="00FE200F">
            <w:pPr>
              <w:rPr>
                <w:rFonts w:ascii="Times New Roman" w:hAnsi="Times New Roman" w:cs="Times New Roman"/>
                <w:sz w:val="16"/>
                <w:szCs w:val="16"/>
              </w:rPr>
            </w:pPr>
          </w:p>
        </w:tc>
      </w:tr>
      <w:tr w:rsidR="00FE200F" w14:paraId="327A424A" w14:textId="77777777">
        <w:trPr>
          <w:cantSplit/>
          <w:jc w:val="center"/>
        </w:trPr>
        <w:tc>
          <w:tcPr>
            <w:tcW w:w="1900" w:type="dxa"/>
            <w:vMerge/>
            <w:tcMar>
              <w:top w:w="50" w:type="dxa"/>
              <w:left w:w="55" w:type="dxa"/>
              <w:bottom w:w="50" w:type="dxa"/>
              <w:right w:w="55" w:type="dxa"/>
            </w:tcMar>
          </w:tcPr>
          <w:p w14:paraId="50ADE401" w14:textId="77777777" w:rsidR="00FE200F" w:rsidRDefault="00FE200F">
            <w:pPr>
              <w:rPr>
                <w:rFonts w:ascii="Times New Roman" w:hAnsi="Times New Roman" w:cs="Times New Roman"/>
                <w:sz w:val="16"/>
                <w:szCs w:val="16"/>
              </w:rPr>
            </w:pPr>
          </w:p>
        </w:tc>
        <w:tc>
          <w:tcPr>
            <w:tcW w:w="3202" w:type="dxa"/>
            <w:vAlign w:val="center"/>
          </w:tcPr>
          <w:p w14:paraId="3A10DC5F"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А1.3.1.3. Сертификација на 50 ВИ шампиони во јавниот сектор</w:t>
            </w:r>
          </w:p>
        </w:tc>
        <w:tc>
          <w:tcPr>
            <w:tcW w:w="1899" w:type="dxa"/>
            <w:tcMar>
              <w:top w:w="50" w:type="dxa"/>
              <w:left w:w="55" w:type="dxa"/>
              <w:bottom w:w="50" w:type="dxa"/>
              <w:right w:w="55" w:type="dxa"/>
            </w:tcMar>
          </w:tcPr>
          <w:p w14:paraId="33E2F278"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МДТ; Економски факултет (ECCF), ФИНКИ, ФЕИТ и УКИМ; Brainster; УКЛО; УГД; ЦОВ</w:t>
            </w:r>
          </w:p>
        </w:tc>
        <w:tc>
          <w:tcPr>
            <w:tcW w:w="1152" w:type="dxa"/>
            <w:tcMar>
              <w:top w:w="50" w:type="dxa"/>
              <w:left w:w="55" w:type="dxa"/>
              <w:bottom w:w="50" w:type="dxa"/>
              <w:right w:w="55" w:type="dxa"/>
            </w:tcMar>
          </w:tcPr>
          <w:p w14:paraId="247CA3C9"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Q3 2027</w:t>
            </w:r>
          </w:p>
        </w:tc>
        <w:tc>
          <w:tcPr>
            <w:tcW w:w="1299" w:type="dxa"/>
            <w:tcMar>
              <w:top w:w="50" w:type="dxa"/>
              <w:left w:w="55" w:type="dxa"/>
              <w:bottom w:w="50" w:type="dxa"/>
              <w:right w:w="55" w:type="dxa"/>
            </w:tcMar>
          </w:tcPr>
          <w:p w14:paraId="5CA426B7"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Q4 2029</w:t>
            </w:r>
          </w:p>
        </w:tc>
        <w:tc>
          <w:tcPr>
            <w:tcW w:w="1501" w:type="dxa"/>
            <w:tcMar>
              <w:top w:w="50" w:type="dxa"/>
              <w:left w:w="55" w:type="dxa"/>
              <w:bottom w:w="50" w:type="dxa"/>
              <w:right w:w="55" w:type="dxa"/>
            </w:tcMar>
          </w:tcPr>
          <w:p w14:paraId="206E2C60" w14:textId="2CA745FE" w:rsidR="00FE200F" w:rsidRDefault="00F418D6">
            <w:pPr>
              <w:spacing w:line="216" w:lineRule="auto"/>
              <w:rPr>
                <w:rFonts w:ascii="Times New Roman" w:hAnsi="Times New Roman" w:cs="Times New Roman"/>
                <w:sz w:val="16"/>
                <w:szCs w:val="16"/>
              </w:rPr>
            </w:pPr>
            <w:r>
              <w:rPr>
                <w:rFonts w:ascii="Times New Roman" w:eastAsia="Arial" w:hAnsi="Times New Roman" w:cs="Times New Roman"/>
                <w:sz w:val="16"/>
                <w:szCs w:val="16"/>
              </w:rPr>
              <w:t>3.000.000</w:t>
            </w:r>
          </w:p>
        </w:tc>
        <w:tc>
          <w:tcPr>
            <w:tcW w:w="1699" w:type="dxa"/>
            <w:tcMar>
              <w:top w:w="50" w:type="dxa"/>
              <w:left w:w="55" w:type="dxa"/>
              <w:bottom w:w="50" w:type="dxa"/>
              <w:right w:w="55" w:type="dxa"/>
            </w:tcMar>
          </w:tcPr>
          <w:p w14:paraId="3DA915F3"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Донатори</w:t>
            </w:r>
            <w:r>
              <w:rPr>
                <w:rFonts w:ascii="Times New Roman" w:hAnsi="Times New Roman" w:cs="Times New Roman"/>
                <w:sz w:val="16"/>
                <w:szCs w:val="16"/>
              </w:rPr>
              <w:br/>
            </w:r>
            <w:r>
              <w:rPr>
                <w:rFonts w:ascii="Times New Roman" w:eastAsia="Arial" w:hAnsi="Times New Roman" w:cs="Times New Roman"/>
                <w:sz w:val="16"/>
                <w:szCs w:val="16"/>
              </w:rPr>
              <w:t>Буџет на РСМ</w:t>
            </w:r>
          </w:p>
        </w:tc>
        <w:tc>
          <w:tcPr>
            <w:tcW w:w="3346" w:type="dxa"/>
            <w:vMerge/>
            <w:tcMar>
              <w:top w:w="50" w:type="dxa"/>
              <w:left w:w="55" w:type="dxa"/>
              <w:bottom w:w="50" w:type="dxa"/>
              <w:right w:w="55" w:type="dxa"/>
            </w:tcMar>
          </w:tcPr>
          <w:p w14:paraId="1ABBD22A" w14:textId="77777777" w:rsidR="00FE200F" w:rsidRDefault="00FE200F">
            <w:pPr>
              <w:rPr>
                <w:rFonts w:ascii="Times New Roman" w:hAnsi="Times New Roman" w:cs="Times New Roman"/>
                <w:sz w:val="16"/>
                <w:szCs w:val="16"/>
              </w:rPr>
            </w:pPr>
          </w:p>
        </w:tc>
      </w:tr>
      <w:tr w:rsidR="00FE200F" w14:paraId="09A8E3C0" w14:textId="77777777">
        <w:trPr>
          <w:cantSplit/>
          <w:jc w:val="center"/>
        </w:trPr>
        <w:tc>
          <w:tcPr>
            <w:tcW w:w="1900" w:type="dxa"/>
            <w:vMerge w:val="restart"/>
            <w:vAlign w:val="center"/>
          </w:tcPr>
          <w:p w14:paraId="174DF118"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b/>
                <w:sz w:val="16"/>
                <w:szCs w:val="16"/>
              </w:rPr>
              <w:lastRenderedPageBreak/>
              <w:t>М1.3.2 Воведување на GovTech предизвици и иновативни набавки</w:t>
            </w:r>
          </w:p>
        </w:tc>
        <w:tc>
          <w:tcPr>
            <w:tcW w:w="3202" w:type="dxa"/>
            <w:vAlign w:val="center"/>
          </w:tcPr>
          <w:p w14:paraId="2426E1E3"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А1.3.2.1. Подготовка на необврзувачки модел-спецификации и опционални договорни клаузули за иновативни јавни набавки и предкомерцијална набавка на ВИ. Моделот, пропорционално на ризикот, опфаќа преднабавен ризичен скрининг; јасно определена намена и класиф</w:t>
            </w:r>
            <w:r>
              <w:rPr>
                <w:rFonts w:ascii="Times New Roman" w:eastAsia="Arial" w:hAnsi="Times New Roman" w:cs="Times New Roman"/>
                <w:sz w:val="16"/>
                <w:szCs w:val="16"/>
              </w:rPr>
              <w:t xml:space="preserve">икација на ризик; потекло, законитост и квалитет на податоците; техничка документација; безбедност и приватност; човечки надзор; пријавување инциденти; договорен пристап до ревизорски докази; тестирање и следење; преносливост; и план за излез и одржување. </w:t>
            </w:r>
            <w:r>
              <w:rPr>
                <w:rFonts w:ascii="Times New Roman" w:eastAsia="Arial" w:hAnsi="Times New Roman" w:cs="Times New Roman"/>
                <w:sz w:val="16"/>
                <w:szCs w:val="16"/>
              </w:rPr>
              <w:t>Со договорните клаузули се обезбедуваат соодветни права на јавниот орган за проверка, одржување и преносливост, без општа обврска за стекнување сопственост врз изворен код, тежини на модел, податоци или трговски тајни.</w:t>
            </w:r>
          </w:p>
        </w:tc>
        <w:tc>
          <w:tcPr>
            <w:tcW w:w="1899" w:type="dxa"/>
            <w:vAlign w:val="center"/>
          </w:tcPr>
          <w:p w14:paraId="02B495D7"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Биро за јавни набавки</w:t>
            </w:r>
            <w:r>
              <w:rPr>
                <w:rFonts w:ascii="Times New Roman" w:hAnsi="Times New Roman" w:cs="Times New Roman"/>
                <w:sz w:val="16"/>
                <w:szCs w:val="16"/>
              </w:rPr>
              <w:br/>
            </w:r>
            <w:r>
              <w:rPr>
                <w:rFonts w:ascii="Times New Roman" w:eastAsia="Arial" w:hAnsi="Times New Roman" w:cs="Times New Roman"/>
                <w:sz w:val="16"/>
                <w:szCs w:val="16"/>
              </w:rPr>
              <w:t>ИНОВА</w:t>
            </w:r>
            <w:r>
              <w:rPr>
                <w:rFonts w:ascii="Times New Roman" w:hAnsi="Times New Roman" w:cs="Times New Roman"/>
                <w:sz w:val="16"/>
                <w:szCs w:val="16"/>
              </w:rPr>
              <w:br/>
            </w:r>
            <w:r>
              <w:rPr>
                <w:rFonts w:ascii="Times New Roman" w:eastAsia="Arial" w:hAnsi="Times New Roman" w:cs="Times New Roman"/>
                <w:sz w:val="16"/>
                <w:szCs w:val="16"/>
              </w:rPr>
              <w:t>МДТ</w:t>
            </w:r>
          </w:p>
        </w:tc>
        <w:tc>
          <w:tcPr>
            <w:tcW w:w="1152" w:type="dxa"/>
            <w:vAlign w:val="center"/>
          </w:tcPr>
          <w:p w14:paraId="64E4FA72"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Q1 20</w:t>
            </w:r>
            <w:r>
              <w:rPr>
                <w:rFonts w:ascii="Times New Roman" w:eastAsia="Arial" w:hAnsi="Times New Roman" w:cs="Times New Roman"/>
                <w:sz w:val="16"/>
                <w:szCs w:val="16"/>
              </w:rPr>
              <w:t>28</w:t>
            </w:r>
          </w:p>
        </w:tc>
        <w:tc>
          <w:tcPr>
            <w:tcW w:w="1299" w:type="dxa"/>
            <w:vAlign w:val="center"/>
          </w:tcPr>
          <w:p w14:paraId="3F68E11A"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Q4 2029</w:t>
            </w:r>
          </w:p>
        </w:tc>
        <w:tc>
          <w:tcPr>
            <w:tcW w:w="1501" w:type="dxa"/>
            <w:vAlign w:val="center"/>
          </w:tcPr>
          <w:p w14:paraId="35906C53" w14:textId="7FE70F67" w:rsidR="00FE200F" w:rsidRDefault="00F418D6">
            <w:pPr>
              <w:spacing w:line="216" w:lineRule="auto"/>
              <w:rPr>
                <w:rFonts w:ascii="Times New Roman" w:hAnsi="Times New Roman" w:cs="Times New Roman"/>
                <w:sz w:val="16"/>
                <w:szCs w:val="16"/>
              </w:rPr>
            </w:pPr>
            <w:r>
              <w:rPr>
                <w:rFonts w:ascii="Times New Roman" w:eastAsia="Arial" w:hAnsi="Times New Roman" w:cs="Times New Roman"/>
                <w:sz w:val="16"/>
                <w:szCs w:val="16"/>
              </w:rPr>
              <w:t>300.000</w:t>
            </w:r>
          </w:p>
        </w:tc>
        <w:tc>
          <w:tcPr>
            <w:tcW w:w="1699" w:type="dxa"/>
            <w:vAlign w:val="center"/>
          </w:tcPr>
          <w:p w14:paraId="009889BE"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ИПА III</w:t>
            </w:r>
            <w:r>
              <w:rPr>
                <w:rFonts w:ascii="Times New Roman" w:hAnsi="Times New Roman" w:cs="Times New Roman"/>
                <w:sz w:val="16"/>
                <w:szCs w:val="16"/>
              </w:rPr>
              <w:br/>
            </w:r>
            <w:r>
              <w:rPr>
                <w:rFonts w:ascii="Times New Roman" w:eastAsia="Arial" w:hAnsi="Times New Roman" w:cs="Times New Roman"/>
                <w:sz w:val="16"/>
                <w:szCs w:val="16"/>
              </w:rPr>
              <w:t>Буџет на РСМ</w:t>
            </w:r>
          </w:p>
        </w:tc>
        <w:tc>
          <w:tcPr>
            <w:tcW w:w="3346" w:type="dxa"/>
            <w:vMerge w:val="restart"/>
            <w:tcMar>
              <w:top w:w="35" w:type="dxa"/>
              <w:left w:w="45" w:type="dxa"/>
              <w:bottom w:w="35" w:type="dxa"/>
              <w:right w:w="45" w:type="dxa"/>
            </w:tcMar>
            <w:vAlign w:val="center"/>
          </w:tcPr>
          <w:p w14:paraId="76E8EC7A"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Показател на резултат: GovTech предизвици и договори за домашни ВИ решенија.</w:t>
            </w:r>
          </w:p>
          <w:p w14:paraId="60C4F5D6"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Почетна вредност (2027): Нема посебна правна рамка, предизвици или договори.</w:t>
            </w:r>
          </w:p>
          <w:p w14:paraId="7F17FF29"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 xml:space="preserve">Преодна вредност (2028): Усвоена рамка; 2 предизвици и најмалку 2 договори. </w:t>
            </w:r>
          </w:p>
          <w:p w14:paraId="56A4C1BA" w14:textId="77777777" w:rsidR="00FE200F" w:rsidRDefault="00E77CAF">
            <w:pPr>
              <w:spacing w:line="216" w:lineRule="auto"/>
              <w:rPr>
                <w:rFonts w:ascii="Times New Roman" w:hAnsi="Times New Roman" w:cs="Times New Roman"/>
                <w:sz w:val="16"/>
                <w:szCs w:val="16"/>
                <w:lang w:val="mk-MK"/>
              </w:rPr>
            </w:pPr>
            <w:r>
              <w:rPr>
                <w:rFonts w:ascii="Times New Roman" w:eastAsia="Arial" w:hAnsi="Times New Roman" w:cs="Times New Roman"/>
                <w:sz w:val="16"/>
                <w:szCs w:val="16"/>
              </w:rPr>
              <w:t>Крајна вредност (2029): Усвоена рамка; 3 предизвици и најмалку 3 договори.</w:t>
            </w:r>
          </w:p>
        </w:tc>
      </w:tr>
      <w:tr w:rsidR="00FE200F" w14:paraId="79F48AA4" w14:textId="77777777">
        <w:trPr>
          <w:cantSplit/>
          <w:jc w:val="center"/>
        </w:trPr>
        <w:tc>
          <w:tcPr>
            <w:tcW w:w="1900" w:type="dxa"/>
            <w:vMerge/>
            <w:tcMar>
              <w:top w:w="50" w:type="dxa"/>
              <w:left w:w="55" w:type="dxa"/>
              <w:bottom w:w="50" w:type="dxa"/>
              <w:right w:w="55" w:type="dxa"/>
            </w:tcMar>
          </w:tcPr>
          <w:p w14:paraId="2F35F4CC" w14:textId="77777777" w:rsidR="00FE200F" w:rsidRDefault="00FE200F">
            <w:pPr>
              <w:rPr>
                <w:rFonts w:ascii="Times New Roman" w:hAnsi="Times New Roman" w:cs="Times New Roman"/>
                <w:sz w:val="16"/>
                <w:szCs w:val="16"/>
              </w:rPr>
            </w:pPr>
          </w:p>
        </w:tc>
        <w:tc>
          <w:tcPr>
            <w:tcW w:w="3202" w:type="dxa"/>
            <w:vAlign w:val="center"/>
          </w:tcPr>
          <w:p w14:paraId="43FD0ADA"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А1.3.2.2. Објавување на најмалку 3 предизвици за ВИ решенија преку отворени, транспарентни и недискрим</w:t>
            </w:r>
            <w:r>
              <w:rPr>
                <w:rFonts w:ascii="Times New Roman" w:eastAsia="Arial" w:hAnsi="Times New Roman" w:cs="Times New Roman"/>
                <w:sz w:val="16"/>
                <w:szCs w:val="16"/>
              </w:rPr>
              <w:t>инаторни постапки, во согласност со важечките прописи за јавните набавки.</w:t>
            </w:r>
          </w:p>
        </w:tc>
        <w:tc>
          <w:tcPr>
            <w:tcW w:w="1899" w:type="dxa"/>
            <w:tcMar>
              <w:top w:w="50" w:type="dxa"/>
              <w:left w:w="55" w:type="dxa"/>
              <w:bottom w:w="50" w:type="dxa"/>
              <w:right w:w="55" w:type="dxa"/>
            </w:tcMar>
          </w:tcPr>
          <w:p w14:paraId="5D9637BE"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Биро за јавни набавки</w:t>
            </w:r>
            <w:r>
              <w:rPr>
                <w:rFonts w:ascii="Times New Roman" w:hAnsi="Times New Roman" w:cs="Times New Roman"/>
                <w:sz w:val="16"/>
                <w:szCs w:val="16"/>
              </w:rPr>
              <w:br/>
            </w:r>
            <w:r>
              <w:rPr>
                <w:rFonts w:ascii="Times New Roman" w:eastAsia="Arial" w:hAnsi="Times New Roman" w:cs="Times New Roman"/>
                <w:sz w:val="16"/>
                <w:szCs w:val="16"/>
              </w:rPr>
              <w:t>ИНОВА</w:t>
            </w:r>
            <w:r>
              <w:rPr>
                <w:rFonts w:ascii="Times New Roman" w:hAnsi="Times New Roman" w:cs="Times New Roman"/>
                <w:sz w:val="16"/>
                <w:szCs w:val="16"/>
              </w:rPr>
              <w:br/>
            </w:r>
            <w:r>
              <w:rPr>
                <w:rFonts w:ascii="Times New Roman" w:eastAsia="Arial" w:hAnsi="Times New Roman" w:cs="Times New Roman"/>
                <w:sz w:val="16"/>
                <w:szCs w:val="16"/>
              </w:rPr>
              <w:t>МДТ</w:t>
            </w:r>
          </w:p>
        </w:tc>
        <w:tc>
          <w:tcPr>
            <w:tcW w:w="1152" w:type="dxa"/>
            <w:tcMar>
              <w:top w:w="50" w:type="dxa"/>
              <w:left w:w="55" w:type="dxa"/>
              <w:bottom w:w="50" w:type="dxa"/>
              <w:right w:w="55" w:type="dxa"/>
            </w:tcMar>
          </w:tcPr>
          <w:p w14:paraId="66E5591A"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Q1 2028</w:t>
            </w:r>
          </w:p>
        </w:tc>
        <w:tc>
          <w:tcPr>
            <w:tcW w:w="1299" w:type="dxa"/>
            <w:tcMar>
              <w:top w:w="50" w:type="dxa"/>
              <w:left w:w="55" w:type="dxa"/>
              <w:bottom w:w="50" w:type="dxa"/>
              <w:right w:w="55" w:type="dxa"/>
            </w:tcMar>
          </w:tcPr>
          <w:p w14:paraId="07981590"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Q4 2029</w:t>
            </w:r>
          </w:p>
        </w:tc>
        <w:tc>
          <w:tcPr>
            <w:tcW w:w="1501" w:type="dxa"/>
            <w:tcMar>
              <w:top w:w="50" w:type="dxa"/>
              <w:left w:w="55" w:type="dxa"/>
              <w:bottom w:w="50" w:type="dxa"/>
              <w:right w:w="55" w:type="dxa"/>
            </w:tcMar>
          </w:tcPr>
          <w:p w14:paraId="707FE3FD" w14:textId="3B56885B" w:rsidR="00FE200F" w:rsidRDefault="00F418D6">
            <w:pPr>
              <w:spacing w:line="216" w:lineRule="auto"/>
              <w:rPr>
                <w:rFonts w:ascii="Times New Roman" w:hAnsi="Times New Roman" w:cs="Times New Roman"/>
                <w:sz w:val="16"/>
                <w:szCs w:val="16"/>
              </w:rPr>
            </w:pPr>
            <w:r>
              <w:rPr>
                <w:rFonts w:ascii="Times New Roman" w:eastAsia="Arial" w:hAnsi="Times New Roman" w:cs="Times New Roman"/>
                <w:sz w:val="16"/>
                <w:szCs w:val="16"/>
              </w:rPr>
              <w:t>0</w:t>
            </w:r>
          </w:p>
        </w:tc>
        <w:tc>
          <w:tcPr>
            <w:tcW w:w="1699" w:type="dxa"/>
            <w:tcMar>
              <w:top w:w="50" w:type="dxa"/>
              <w:left w:w="55" w:type="dxa"/>
              <w:bottom w:w="50" w:type="dxa"/>
              <w:right w:w="55" w:type="dxa"/>
            </w:tcMar>
          </w:tcPr>
          <w:p w14:paraId="755A6754"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ИПА III</w:t>
            </w:r>
            <w:r>
              <w:rPr>
                <w:rFonts w:ascii="Times New Roman" w:hAnsi="Times New Roman" w:cs="Times New Roman"/>
                <w:sz w:val="16"/>
                <w:szCs w:val="16"/>
              </w:rPr>
              <w:br/>
            </w:r>
            <w:r>
              <w:rPr>
                <w:rFonts w:ascii="Times New Roman" w:eastAsia="Arial" w:hAnsi="Times New Roman" w:cs="Times New Roman"/>
                <w:sz w:val="16"/>
                <w:szCs w:val="16"/>
              </w:rPr>
              <w:t>Буџет на РСМ</w:t>
            </w:r>
          </w:p>
        </w:tc>
        <w:tc>
          <w:tcPr>
            <w:tcW w:w="3346" w:type="dxa"/>
            <w:vMerge/>
            <w:tcMar>
              <w:top w:w="50" w:type="dxa"/>
              <w:left w:w="55" w:type="dxa"/>
              <w:bottom w:w="50" w:type="dxa"/>
              <w:right w:w="55" w:type="dxa"/>
            </w:tcMar>
          </w:tcPr>
          <w:p w14:paraId="283AFC7A" w14:textId="77777777" w:rsidR="00FE200F" w:rsidRDefault="00FE200F">
            <w:pPr>
              <w:rPr>
                <w:rFonts w:ascii="Times New Roman" w:hAnsi="Times New Roman" w:cs="Times New Roman"/>
                <w:sz w:val="16"/>
                <w:szCs w:val="16"/>
              </w:rPr>
            </w:pPr>
          </w:p>
        </w:tc>
      </w:tr>
      <w:tr w:rsidR="00FE200F" w14:paraId="588A1D59" w14:textId="77777777">
        <w:trPr>
          <w:cantSplit/>
          <w:jc w:val="center"/>
        </w:trPr>
        <w:tc>
          <w:tcPr>
            <w:tcW w:w="1900" w:type="dxa"/>
            <w:vMerge/>
            <w:tcMar>
              <w:top w:w="50" w:type="dxa"/>
              <w:left w:w="55" w:type="dxa"/>
              <w:bottom w:w="50" w:type="dxa"/>
              <w:right w:w="55" w:type="dxa"/>
            </w:tcMar>
          </w:tcPr>
          <w:p w14:paraId="3577A9DE" w14:textId="77777777" w:rsidR="00FE200F" w:rsidRDefault="00FE200F">
            <w:pPr>
              <w:rPr>
                <w:rFonts w:ascii="Times New Roman" w:hAnsi="Times New Roman" w:cs="Times New Roman"/>
                <w:sz w:val="16"/>
                <w:szCs w:val="16"/>
              </w:rPr>
            </w:pPr>
          </w:p>
        </w:tc>
        <w:tc>
          <w:tcPr>
            <w:tcW w:w="3202" w:type="dxa"/>
            <w:vAlign w:val="center"/>
          </w:tcPr>
          <w:p w14:paraId="4ABC7FE4"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А1.3.2.3. Евалуација и доделување на договори</w:t>
            </w:r>
          </w:p>
        </w:tc>
        <w:tc>
          <w:tcPr>
            <w:tcW w:w="1899" w:type="dxa"/>
            <w:tcMar>
              <w:top w:w="50" w:type="dxa"/>
              <w:left w:w="55" w:type="dxa"/>
              <w:bottom w:w="50" w:type="dxa"/>
              <w:right w:w="55" w:type="dxa"/>
            </w:tcMar>
          </w:tcPr>
          <w:p w14:paraId="3C832A4A"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Биро за јавни набавки</w:t>
            </w:r>
            <w:r>
              <w:rPr>
                <w:rFonts w:ascii="Times New Roman" w:hAnsi="Times New Roman" w:cs="Times New Roman"/>
                <w:sz w:val="16"/>
                <w:szCs w:val="16"/>
              </w:rPr>
              <w:br/>
            </w:r>
            <w:r>
              <w:rPr>
                <w:rFonts w:ascii="Times New Roman" w:eastAsia="Arial" w:hAnsi="Times New Roman" w:cs="Times New Roman"/>
                <w:sz w:val="16"/>
                <w:szCs w:val="16"/>
              </w:rPr>
              <w:t>ИНОВА</w:t>
            </w:r>
            <w:r>
              <w:rPr>
                <w:rFonts w:ascii="Times New Roman" w:hAnsi="Times New Roman" w:cs="Times New Roman"/>
                <w:sz w:val="16"/>
                <w:szCs w:val="16"/>
              </w:rPr>
              <w:br/>
            </w:r>
            <w:r>
              <w:rPr>
                <w:rFonts w:ascii="Times New Roman" w:eastAsia="Arial" w:hAnsi="Times New Roman" w:cs="Times New Roman"/>
                <w:sz w:val="16"/>
                <w:szCs w:val="16"/>
              </w:rPr>
              <w:t>МДТ</w:t>
            </w:r>
          </w:p>
        </w:tc>
        <w:tc>
          <w:tcPr>
            <w:tcW w:w="1152" w:type="dxa"/>
            <w:tcMar>
              <w:top w:w="50" w:type="dxa"/>
              <w:left w:w="55" w:type="dxa"/>
              <w:bottom w:w="50" w:type="dxa"/>
              <w:right w:w="55" w:type="dxa"/>
            </w:tcMar>
          </w:tcPr>
          <w:p w14:paraId="0EFA3845"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Q1 2028</w:t>
            </w:r>
          </w:p>
        </w:tc>
        <w:tc>
          <w:tcPr>
            <w:tcW w:w="1299" w:type="dxa"/>
            <w:tcMar>
              <w:top w:w="50" w:type="dxa"/>
              <w:left w:w="55" w:type="dxa"/>
              <w:bottom w:w="50" w:type="dxa"/>
              <w:right w:w="55" w:type="dxa"/>
            </w:tcMar>
          </w:tcPr>
          <w:p w14:paraId="304D6B4F"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Q4 2029</w:t>
            </w:r>
          </w:p>
        </w:tc>
        <w:tc>
          <w:tcPr>
            <w:tcW w:w="1501" w:type="dxa"/>
            <w:tcMar>
              <w:top w:w="50" w:type="dxa"/>
              <w:left w:w="55" w:type="dxa"/>
              <w:bottom w:w="50" w:type="dxa"/>
              <w:right w:w="55" w:type="dxa"/>
            </w:tcMar>
          </w:tcPr>
          <w:p w14:paraId="251A910A" w14:textId="5E34B92B" w:rsidR="00FE200F" w:rsidRDefault="00F418D6">
            <w:pPr>
              <w:spacing w:line="216" w:lineRule="auto"/>
              <w:rPr>
                <w:rFonts w:ascii="Times New Roman" w:hAnsi="Times New Roman" w:cs="Times New Roman"/>
                <w:sz w:val="16"/>
                <w:szCs w:val="16"/>
              </w:rPr>
            </w:pPr>
            <w:r>
              <w:rPr>
                <w:rFonts w:ascii="Times New Roman" w:eastAsia="Arial" w:hAnsi="Times New Roman" w:cs="Times New Roman"/>
                <w:sz w:val="16"/>
                <w:szCs w:val="16"/>
              </w:rPr>
              <w:t>10.000.000</w:t>
            </w:r>
          </w:p>
        </w:tc>
        <w:tc>
          <w:tcPr>
            <w:tcW w:w="1699" w:type="dxa"/>
            <w:tcMar>
              <w:top w:w="50" w:type="dxa"/>
              <w:left w:w="55" w:type="dxa"/>
              <w:bottom w:w="50" w:type="dxa"/>
              <w:right w:w="55" w:type="dxa"/>
            </w:tcMar>
          </w:tcPr>
          <w:p w14:paraId="073AF039"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ИПА</w:t>
            </w:r>
            <w:r>
              <w:rPr>
                <w:rFonts w:ascii="Times New Roman" w:eastAsia="Arial" w:hAnsi="Times New Roman" w:cs="Times New Roman"/>
                <w:sz w:val="16"/>
                <w:szCs w:val="16"/>
              </w:rPr>
              <w:t xml:space="preserve"> III</w:t>
            </w:r>
            <w:r>
              <w:rPr>
                <w:rFonts w:ascii="Times New Roman" w:hAnsi="Times New Roman" w:cs="Times New Roman"/>
                <w:sz w:val="16"/>
                <w:szCs w:val="16"/>
              </w:rPr>
              <w:br/>
            </w:r>
            <w:r>
              <w:rPr>
                <w:rFonts w:ascii="Times New Roman" w:eastAsia="Arial" w:hAnsi="Times New Roman" w:cs="Times New Roman"/>
                <w:sz w:val="16"/>
                <w:szCs w:val="16"/>
              </w:rPr>
              <w:t>Буџет на РСМ</w:t>
            </w:r>
          </w:p>
        </w:tc>
        <w:tc>
          <w:tcPr>
            <w:tcW w:w="3346" w:type="dxa"/>
            <w:vMerge/>
            <w:tcMar>
              <w:top w:w="50" w:type="dxa"/>
              <w:left w:w="55" w:type="dxa"/>
              <w:bottom w:w="50" w:type="dxa"/>
              <w:right w:w="55" w:type="dxa"/>
            </w:tcMar>
          </w:tcPr>
          <w:p w14:paraId="7B1E6809" w14:textId="77777777" w:rsidR="00FE200F" w:rsidRDefault="00FE200F">
            <w:pPr>
              <w:rPr>
                <w:rFonts w:ascii="Times New Roman" w:hAnsi="Times New Roman" w:cs="Times New Roman"/>
                <w:sz w:val="16"/>
                <w:szCs w:val="16"/>
              </w:rPr>
            </w:pPr>
          </w:p>
        </w:tc>
      </w:tr>
    </w:tbl>
    <w:p w14:paraId="4594D7BE" w14:textId="77777777" w:rsidR="00FE200F" w:rsidRDefault="00FE200F">
      <w:pPr>
        <w:rPr>
          <w:rFonts w:ascii="Times New Roman" w:hAnsi="Times New Roman" w:cs="Times New Roman"/>
          <w:sz w:val="16"/>
          <w:szCs w:val="16"/>
        </w:rPr>
      </w:pPr>
    </w:p>
    <w:tbl>
      <w:tblPr>
        <w:tblStyle w:val="TableGrid"/>
        <w:tblW w:w="16000" w:type="dxa"/>
        <w:jc w:val="center"/>
        <w:tblLayout w:type="fixed"/>
        <w:tblCellMar>
          <w:top w:w="60" w:type="dxa"/>
          <w:left w:w="70" w:type="dxa"/>
          <w:bottom w:w="60" w:type="dxa"/>
          <w:right w:w="70" w:type="dxa"/>
        </w:tblCellMar>
        <w:tblLook w:val="04A0" w:firstRow="1" w:lastRow="0" w:firstColumn="1" w:lastColumn="0" w:noHBand="0" w:noVBand="1"/>
      </w:tblPr>
      <w:tblGrid>
        <w:gridCol w:w="1901"/>
        <w:gridCol w:w="3203"/>
        <w:gridCol w:w="1899"/>
        <w:gridCol w:w="1152"/>
        <w:gridCol w:w="1299"/>
        <w:gridCol w:w="1501"/>
        <w:gridCol w:w="1699"/>
        <w:gridCol w:w="3346"/>
      </w:tblGrid>
      <w:tr w:rsidR="00FE200F" w14:paraId="38F58148" w14:textId="77777777">
        <w:trPr>
          <w:cantSplit/>
          <w:tblHeader/>
          <w:jc w:val="center"/>
        </w:trPr>
        <w:tc>
          <w:tcPr>
            <w:tcW w:w="1900" w:type="dxa"/>
            <w:shd w:val="clear" w:color="auto" w:fill="4472C4"/>
            <w:vAlign w:val="center"/>
          </w:tcPr>
          <w:p w14:paraId="7A2569E3" w14:textId="77777777" w:rsidR="00FE200F" w:rsidRDefault="00E77CAF">
            <w:pPr>
              <w:spacing w:line="216"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Мерки</w:t>
            </w:r>
          </w:p>
        </w:tc>
        <w:tc>
          <w:tcPr>
            <w:tcW w:w="3202" w:type="dxa"/>
            <w:shd w:val="clear" w:color="auto" w:fill="4472C4"/>
            <w:vAlign w:val="center"/>
          </w:tcPr>
          <w:p w14:paraId="085C2FD1" w14:textId="77777777" w:rsidR="00FE200F" w:rsidRDefault="00E77CAF">
            <w:pPr>
              <w:spacing w:line="216"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Активности</w:t>
            </w:r>
          </w:p>
        </w:tc>
        <w:tc>
          <w:tcPr>
            <w:tcW w:w="1899" w:type="dxa"/>
            <w:shd w:val="clear" w:color="auto" w:fill="4472C4"/>
            <w:vAlign w:val="center"/>
          </w:tcPr>
          <w:p w14:paraId="53A30C43" w14:textId="77777777" w:rsidR="00FE200F" w:rsidRDefault="00E77CAF">
            <w:pPr>
              <w:spacing w:line="216"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Водечки орган /</w:t>
            </w:r>
            <w:r>
              <w:rPr>
                <w:rFonts w:ascii="Times New Roman" w:hAnsi="Times New Roman" w:cs="Times New Roman"/>
                <w:sz w:val="16"/>
                <w:szCs w:val="16"/>
              </w:rPr>
              <w:br/>
            </w:r>
            <w:r>
              <w:rPr>
                <w:rFonts w:ascii="Times New Roman" w:eastAsia="Arial" w:hAnsi="Times New Roman" w:cs="Times New Roman"/>
                <w:b/>
                <w:color w:val="FFFFFF"/>
                <w:sz w:val="16"/>
                <w:szCs w:val="16"/>
              </w:rPr>
              <w:t>Други органи</w:t>
            </w:r>
          </w:p>
        </w:tc>
        <w:tc>
          <w:tcPr>
            <w:tcW w:w="1152" w:type="dxa"/>
            <w:shd w:val="clear" w:color="auto" w:fill="4472C4"/>
            <w:vAlign w:val="center"/>
          </w:tcPr>
          <w:p w14:paraId="311A4E0B" w14:textId="77777777" w:rsidR="00FE200F" w:rsidRDefault="00E77CAF">
            <w:pPr>
              <w:spacing w:line="216"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Почетен</w:t>
            </w:r>
            <w:r>
              <w:rPr>
                <w:rFonts w:ascii="Times New Roman" w:hAnsi="Times New Roman" w:cs="Times New Roman"/>
                <w:sz w:val="16"/>
                <w:szCs w:val="16"/>
              </w:rPr>
              <w:br/>
            </w:r>
            <w:r>
              <w:rPr>
                <w:rFonts w:ascii="Times New Roman" w:eastAsia="Arial" w:hAnsi="Times New Roman" w:cs="Times New Roman"/>
                <w:b/>
                <w:color w:val="FFFFFF"/>
                <w:sz w:val="16"/>
                <w:szCs w:val="16"/>
              </w:rPr>
              <w:t>датум</w:t>
            </w:r>
            <w:r>
              <w:rPr>
                <w:rFonts w:ascii="Times New Roman" w:hAnsi="Times New Roman" w:cs="Times New Roman"/>
                <w:sz w:val="16"/>
                <w:szCs w:val="16"/>
              </w:rPr>
              <w:br/>
            </w:r>
            <w:r>
              <w:rPr>
                <w:rFonts w:ascii="Times New Roman" w:eastAsia="Arial" w:hAnsi="Times New Roman" w:cs="Times New Roman"/>
                <w:b/>
                <w:color w:val="FFFFFF"/>
                <w:sz w:val="16"/>
                <w:szCs w:val="16"/>
              </w:rPr>
              <w:t>(квартал)</w:t>
            </w:r>
          </w:p>
        </w:tc>
        <w:tc>
          <w:tcPr>
            <w:tcW w:w="1299" w:type="dxa"/>
            <w:shd w:val="clear" w:color="auto" w:fill="4472C4"/>
            <w:vAlign w:val="center"/>
          </w:tcPr>
          <w:p w14:paraId="5930BE75" w14:textId="77777777" w:rsidR="00FE200F" w:rsidRDefault="00E77CAF">
            <w:pPr>
              <w:spacing w:line="216"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Планиран датум на</w:t>
            </w:r>
            <w:r>
              <w:rPr>
                <w:rFonts w:ascii="Times New Roman" w:hAnsi="Times New Roman" w:cs="Times New Roman"/>
                <w:sz w:val="16"/>
                <w:szCs w:val="16"/>
              </w:rPr>
              <w:br/>
            </w:r>
            <w:r>
              <w:rPr>
                <w:rFonts w:ascii="Times New Roman" w:eastAsia="Arial" w:hAnsi="Times New Roman" w:cs="Times New Roman"/>
                <w:b/>
                <w:color w:val="FFFFFF"/>
                <w:sz w:val="16"/>
                <w:szCs w:val="16"/>
              </w:rPr>
              <w:t>извршување</w:t>
            </w:r>
            <w:r>
              <w:rPr>
                <w:rFonts w:ascii="Times New Roman" w:hAnsi="Times New Roman" w:cs="Times New Roman"/>
                <w:sz w:val="16"/>
                <w:szCs w:val="16"/>
              </w:rPr>
              <w:br/>
            </w:r>
            <w:r>
              <w:rPr>
                <w:rFonts w:ascii="Times New Roman" w:eastAsia="Arial" w:hAnsi="Times New Roman" w:cs="Times New Roman"/>
                <w:b/>
                <w:color w:val="FFFFFF"/>
                <w:sz w:val="16"/>
                <w:szCs w:val="16"/>
              </w:rPr>
              <w:t>(квартал)</w:t>
            </w:r>
          </w:p>
        </w:tc>
        <w:tc>
          <w:tcPr>
            <w:tcW w:w="1501" w:type="dxa"/>
            <w:shd w:val="clear" w:color="auto" w:fill="4472C4"/>
            <w:vAlign w:val="center"/>
          </w:tcPr>
          <w:p w14:paraId="3E076CC4" w14:textId="77777777" w:rsidR="00FE200F" w:rsidRDefault="00E77CAF">
            <w:pPr>
              <w:spacing w:line="216"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Проценка на</w:t>
            </w:r>
            <w:r>
              <w:rPr>
                <w:rFonts w:ascii="Times New Roman" w:hAnsi="Times New Roman" w:cs="Times New Roman"/>
                <w:sz w:val="16"/>
                <w:szCs w:val="16"/>
              </w:rPr>
              <w:br/>
            </w:r>
            <w:r>
              <w:rPr>
                <w:rFonts w:ascii="Times New Roman" w:eastAsia="Arial" w:hAnsi="Times New Roman" w:cs="Times New Roman"/>
                <w:b/>
                <w:color w:val="FFFFFF"/>
                <w:sz w:val="16"/>
                <w:szCs w:val="16"/>
              </w:rPr>
              <w:t>потребни средства</w:t>
            </w:r>
            <w:r>
              <w:rPr>
                <w:rFonts w:ascii="Times New Roman" w:hAnsi="Times New Roman" w:cs="Times New Roman"/>
                <w:sz w:val="16"/>
                <w:szCs w:val="16"/>
              </w:rPr>
              <w:br/>
            </w:r>
            <w:r>
              <w:rPr>
                <w:rFonts w:ascii="Times New Roman" w:eastAsia="Arial" w:hAnsi="Times New Roman" w:cs="Times New Roman"/>
                <w:b/>
                <w:color w:val="FFFFFF"/>
                <w:sz w:val="16"/>
                <w:szCs w:val="16"/>
              </w:rPr>
              <w:t>(EUR)</w:t>
            </w:r>
          </w:p>
        </w:tc>
        <w:tc>
          <w:tcPr>
            <w:tcW w:w="1699" w:type="dxa"/>
            <w:shd w:val="clear" w:color="auto" w:fill="4472C4"/>
            <w:vAlign w:val="center"/>
          </w:tcPr>
          <w:p w14:paraId="3DE46203" w14:textId="77777777" w:rsidR="00FE200F" w:rsidRDefault="00E77CAF">
            <w:pPr>
              <w:spacing w:line="216"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Извор на</w:t>
            </w:r>
            <w:r>
              <w:rPr>
                <w:rFonts w:ascii="Times New Roman" w:hAnsi="Times New Roman" w:cs="Times New Roman"/>
                <w:sz w:val="16"/>
                <w:szCs w:val="16"/>
              </w:rPr>
              <w:br/>
            </w:r>
            <w:r>
              <w:rPr>
                <w:rFonts w:ascii="Times New Roman" w:eastAsia="Arial" w:hAnsi="Times New Roman" w:cs="Times New Roman"/>
                <w:b/>
                <w:color w:val="FFFFFF"/>
                <w:sz w:val="16"/>
                <w:szCs w:val="16"/>
              </w:rPr>
              <w:t>финансирање</w:t>
            </w:r>
          </w:p>
        </w:tc>
        <w:tc>
          <w:tcPr>
            <w:tcW w:w="3346" w:type="dxa"/>
            <w:shd w:val="clear" w:color="auto" w:fill="4472C4"/>
            <w:tcMar>
              <w:top w:w="35" w:type="dxa"/>
              <w:left w:w="45" w:type="dxa"/>
              <w:bottom w:w="35" w:type="dxa"/>
              <w:right w:w="45" w:type="dxa"/>
            </w:tcMar>
            <w:vAlign w:val="center"/>
          </w:tcPr>
          <w:p w14:paraId="7D90D983" w14:textId="77777777" w:rsidR="00FE200F" w:rsidRDefault="00E77CAF">
            <w:pPr>
              <w:spacing w:line="218"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Показател на резултат и дијагностичка поврзаност (Фаза 1)</w:t>
            </w:r>
          </w:p>
        </w:tc>
      </w:tr>
      <w:tr w:rsidR="00FE200F" w14:paraId="611A6BD7" w14:textId="77777777">
        <w:trPr>
          <w:cantSplit/>
          <w:jc w:val="center"/>
        </w:trPr>
        <w:tc>
          <w:tcPr>
            <w:tcW w:w="8153" w:type="dxa"/>
            <w:gridSpan w:val="4"/>
            <w:shd w:val="clear" w:color="auto" w:fill="D9EAF7"/>
            <w:vAlign w:val="center"/>
          </w:tcPr>
          <w:p w14:paraId="3D6D8963" w14:textId="77777777" w:rsidR="00FE200F" w:rsidRDefault="00E77CAF">
            <w:pPr>
              <w:spacing w:line="216" w:lineRule="auto"/>
              <w:rPr>
                <w:rFonts w:ascii="Times New Roman" w:hAnsi="Times New Roman" w:cs="Times New Roman"/>
                <w:sz w:val="16"/>
                <w:szCs w:val="16"/>
                <w:lang w:val="mk-MK"/>
              </w:rPr>
            </w:pPr>
            <w:r>
              <w:rPr>
                <w:rFonts w:ascii="Times New Roman" w:eastAsia="Arial" w:hAnsi="Times New Roman" w:cs="Times New Roman"/>
                <w:b/>
                <w:sz w:val="16"/>
                <w:szCs w:val="16"/>
              </w:rPr>
              <w:t xml:space="preserve">ПРИОРИТЕТНА ОБЛАСТ 2: ЕКОНОМИЈА И </w:t>
            </w:r>
            <w:r>
              <w:rPr>
                <w:rFonts w:ascii="Times New Roman" w:eastAsia="Arial" w:hAnsi="Times New Roman" w:cs="Times New Roman"/>
                <w:b/>
                <w:sz w:val="16"/>
                <w:szCs w:val="16"/>
                <w:lang w:val="mk-MK"/>
              </w:rPr>
              <w:t>ИНОВАЦИИ</w:t>
            </w:r>
          </w:p>
        </w:tc>
        <w:tc>
          <w:tcPr>
            <w:tcW w:w="7845" w:type="dxa"/>
            <w:gridSpan w:val="4"/>
            <w:shd w:val="clear" w:color="auto" w:fill="D9EAF7"/>
            <w:tcMar>
              <w:top w:w="40" w:type="dxa"/>
              <w:left w:w="50" w:type="dxa"/>
              <w:bottom w:w="40" w:type="dxa"/>
              <w:right w:w="50" w:type="dxa"/>
            </w:tcMar>
            <w:vAlign w:val="center"/>
          </w:tcPr>
          <w:p w14:paraId="2E3C79D3"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ПОВРЗАНОСТ СО НАЦИОНАЛНАТА РАЗВОЈНА СТРАТЕГИЈА 2024–2044:</w:t>
            </w:r>
            <w:r>
              <w:rPr>
                <w:rFonts w:ascii="Times New Roman" w:hAnsi="Times New Roman" w:cs="Times New Roman"/>
                <w:sz w:val="16"/>
                <w:szCs w:val="16"/>
              </w:rPr>
              <w:br/>
            </w:r>
            <w:r>
              <w:rPr>
                <w:rFonts w:ascii="Times New Roman" w:eastAsia="Arial" w:hAnsi="Times New Roman" w:cs="Times New Roman"/>
                <w:sz w:val="16"/>
                <w:szCs w:val="16"/>
              </w:rPr>
              <w:t>Одржлива, иновативна и конкурентна економија; Дигитализација; Зелена трансформација.</w:t>
            </w:r>
            <w:r>
              <w:rPr>
                <w:rFonts w:ascii="Times New Roman" w:hAnsi="Times New Roman" w:cs="Times New Roman"/>
                <w:sz w:val="16"/>
                <w:szCs w:val="16"/>
              </w:rPr>
              <w:br/>
            </w:r>
            <w:r>
              <w:rPr>
                <w:rFonts w:ascii="Times New Roman" w:eastAsia="Arial" w:hAnsi="Times New Roman" w:cs="Times New Roman"/>
                <w:sz w:val="16"/>
                <w:szCs w:val="16"/>
              </w:rPr>
              <w:t>Придонес: продуктивност, иновации, инвестиции и примена на ВИ во стопа</w:t>
            </w:r>
            <w:r>
              <w:rPr>
                <w:rFonts w:ascii="Times New Roman" w:eastAsia="Arial" w:hAnsi="Times New Roman" w:cs="Times New Roman"/>
                <w:sz w:val="16"/>
                <w:szCs w:val="16"/>
              </w:rPr>
              <w:t>нството.</w:t>
            </w:r>
            <w:r>
              <w:rPr>
                <w:rFonts w:ascii="Times New Roman" w:hAnsi="Times New Roman" w:cs="Times New Roman"/>
                <w:sz w:val="16"/>
                <w:szCs w:val="16"/>
              </w:rPr>
              <w:br/>
            </w:r>
            <w:r>
              <w:rPr>
                <w:rFonts w:ascii="Times New Roman" w:eastAsia="Arial" w:hAnsi="Times New Roman" w:cs="Times New Roman"/>
                <w:sz w:val="16"/>
                <w:szCs w:val="16"/>
              </w:rPr>
              <w:t>СМАРТ/МК:2030: Приоритетна област 4 – Бизниси, иновации, нови технологии и вештачка интелигенција.</w:t>
            </w:r>
          </w:p>
        </w:tc>
      </w:tr>
      <w:tr w:rsidR="00FE200F" w14:paraId="3F86EA9A" w14:textId="77777777">
        <w:trPr>
          <w:cantSplit/>
          <w:jc w:val="center"/>
        </w:trPr>
        <w:tc>
          <w:tcPr>
            <w:tcW w:w="8153" w:type="dxa"/>
            <w:gridSpan w:val="4"/>
            <w:shd w:val="clear" w:color="auto" w:fill="BDD7EE"/>
            <w:vAlign w:val="center"/>
          </w:tcPr>
          <w:p w14:paraId="4DA80F4A"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b/>
                <w:sz w:val="16"/>
                <w:szCs w:val="16"/>
              </w:rPr>
              <w:t>ОПШТА ЦЕЛ: ПРОДУКТИВНОСТ, МСП, ИНДУСТРИСКИ ВИ РЕШЕНИЈА, ИНОВАЦИИ.</w:t>
            </w:r>
          </w:p>
        </w:tc>
        <w:tc>
          <w:tcPr>
            <w:tcW w:w="7845" w:type="dxa"/>
            <w:gridSpan w:val="4"/>
            <w:shd w:val="clear" w:color="auto" w:fill="EAF2F8"/>
            <w:vAlign w:val="center"/>
          </w:tcPr>
          <w:p w14:paraId="435F7136"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 xml:space="preserve">ПОКАЗАТЕЛ НА ЕФЕКТ: GARI Development &amp; Diffusion и број на МСП поддржани за </w:t>
            </w:r>
            <w:r>
              <w:rPr>
                <w:rFonts w:ascii="Times New Roman" w:eastAsia="Arial" w:hAnsi="Times New Roman" w:cs="Times New Roman"/>
                <w:sz w:val="16"/>
                <w:szCs w:val="16"/>
              </w:rPr>
              <w:t>примена на ВИ.Почетна вредност (2027): 24,85 (GARI 2025 – последна расположлива вредност); 0 МСП.Преодна вредност (2028): 25,50; најмалку 25 МСП. Крајна вредност (2029): 30,00; најмалку 50 МСП.</w:t>
            </w:r>
          </w:p>
        </w:tc>
      </w:tr>
      <w:tr w:rsidR="00FE200F" w14:paraId="570B9627" w14:textId="77777777">
        <w:trPr>
          <w:cantSplit/>
          <w:jc w:val="center"/>
        </w:trPr>
        <w:tc>
          <w:tcPr>
            <w:tcW w:w="8153" w:type="dxa"/>
            <w:gridSpan w:val="4"/>
            <w:shd w:val="clear" w:color="auto" w:fill="E7E6E6"/>
            <w:vAlign w:val="center"/>
          </w:tcPr>
          <w:p w14:paraId="35E2E273"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b/>
                <w:sz w:val="16"/>
                <w:szCs w:val="16"/>
              </w:rPr>
              <w:lastRenderedPageBreak/>
              <w:t>Посебна цел 2.1. Зголемување на конкурентноста и продуктивнос</w:t>
            </w:r>
            <w:r>
              <w:rPr>
                <w:rFonts w:ascii="Times New Roman" w:eastAsia="Arial" w:hAnsi="Times New Roman" w:cs="Times New Roman"/>
                <w:b/>
                <w:sz w:val="16"/>
                <w:szCs w:val="16"/>
              </w:rPr>
              <w:t>та на МСП преку ВИ</w:t>
            </w:r>
          </w:p>
        </w:tc>
        <w:tc>
          <w:tcPr>
            <w:tcW w:w="7845" w:type="dxa"/>
            <w:gridSpan w:val="4"/>
            <w:shd w:val="clear" w:color="auto" w:fill="F2F2F2"/>
            <w:vAlign w:val="center"/>
          </w:tcPr>
          <w:p w14:paraId="5C161AB6"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ПОКАЗАТЕЛ НА ИСХОД: МСП што применуваат ВИ со мерливо подобрување на продуктивноста.Почетна вредност (2027): 0 поддржани МСП во програмата.Преодна вредност (2028): Најмалку 25 поддржани МСП; просечно подобрување на продуктивноста од најм</w:t>
            </w:r>
            <w:r>
              <w:rPr>
                <w:rFonts w:ascii="Times New Roman" w:eastAsia="Arial" w:hAnsi="Times New Roman" w:cs="Times New Roman"/>
                <w:sz w:val="16"/>
                <w:szCs w:val="16"/>
              </w:rPr>
              <w:t>алку 5%. Крајна вредност (2029): Најмалку 50 поддржани МСП; просечно подобрување на продуктивноста од најмалку 10%.</w:t>
            </w:r>
          </w:p>
        </w:tc>
      </w:tr>
      <w:tr w:rsidR="00FE200F" w14:paraId="60756A9B" w14:textId="77777777">
        <w:trPr>
          <w:cantSplit/>
          <w:jc w:val="center"/>
        </w:trPr>
        <w:tc>
          <w:tcPr>
            <w:tcW w:w="1900" w:type="dxa"/>
            <w:vMerge w:val="restart"/>
            <w:vAlign w:val="center"/>
          </w:tcPr>
          <w:p w14:paraId="728C2E6E"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b/>
                <w:sz w:val="16"/>
                <w:szCs w:val="16"/>
              </w:rPr>
              <w:t>М2.1.1. Грантова шема за дигитална трансформација на МСП со ВИ</w:t>
            </w:r>
          </w:p>
        </w:tc>
        <w:tc>
          <w:tcPr>
            <w:tcW w:w="3202" w:type="dxa"/>
            <w:vAlign w:val="center"/>
          </w:tcPr>
          <w:p w14:paraId="06DE311E"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 xml:space="preserve">А2.1.1.1. Дизајнирање на грантова шема (50-70% кофинансирање, до 30.000 EUR </w:t>
            </w:r>
            <w:r>
              <w:rPr>
                <w:rFonts w:ascii="Times New Roman" w:eastAsia="Arial" w:hAnsi="Times New Roman" w:cs="Times New Roman"/>
                <w:sz w:val="16"/>
                <w:szCs w:val="16"/>
              </w:rPr>
              <w:t>по МСП)</w:t>
            </w:r>
          </w:p>
        </w:tc>
        <w:tc>
          <w:tcPr>
            <w:tcW w:w="1899" w:type="dxa"/>
            <w:vAlign w:val="center"/>
          </w:tcPr>
          <w:p w14:paraId="150F08D1"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ИНОВА</w:t>
            </w:r>
            <w:r>
              <w:rPr>
                <w:rFonts w:ascii="Times New Roman" w:hAnsi="Times New Roman" w:cs="Times New Roman"/>
                <w:sz w:val="16"/>
                <w:szCs w:val="16"/>
              </w:rPr>
              <w:br/>
            </w:r>
            <w:r>
              <w:rPr>
                <w:rFonts w:ascii="Times New Roman" w:eastAsia="Arial" w:hAnsi="Times New Roman" w:cs="Times New Roman"/>
                <w:sz w:val="16"/>
                <w:szCs w:val="16"/>
              </w:rPr>
              <w:t>МЕ</w:t>
            </w:r>
          </w:p>
        </w:tc>
        <w:tc>
          <w:tcPr>
            <w:tcW w:w="1152" w:type="dxa"/>
            <w:vAlign w:val="center"/>
          </w:tcPr>
          <w:p w14:paraId="7CD20740"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Q1 2028</w:t>
            </w:r>
          </w:p>
        </w:tc>
        <w:tc>
          <w:tcPr>
            <w:tcW w:w="1299" w:type="dxa"/>
            <w:vAlign w:val="center"/>
          </w:tcPr>
          <w:p w14:paraId="206D0D7A"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Q4 2029</w:t>
            </w:r>
          </w:p>
        </w:tc>
        <w:tc>
          <w:tcPr>
            <w:tcW w:w="1501" w:type="dxa"/>
            <w:vAlign w:val="center"/>
          </w:tcPr>
          <w:p w14:paraId="12AAB21A" w14:textId="52FC83D2" w:rsidR="00FE200F" w:rsidRDefault="00F418D6">
            <w:pPr>
              <w:spacing w:line="216" w:lineRule="auto"/>
              <w:rPr>
                <w:rFonts w:ascii="Times New Roman" w:hAnsi="Times New Roman" w:cs="Times New Roman"/>
                <w:sz w:val="16"/>
                <w:szCs w:val="16"/>
              </w:rPr>
            </w:pPr>
            <w:r>
              <w:rPr>
                <w:rFonts w:ascii="Times New Roman" w:eastAsia="Arial" w:hAnsi="Times New Roman" w:cs="Times New Roman"/>
                <w:sz w:val="16"/>
                <w:szCs w:val="16"/>
              </w:rPr>
              <w:t>0</w:t>
            </w:r>
          </w:p>
        </w:tc>
        <w:tc>
          <w:tcPr>
            <w:tcW w:w="1699" w:type="dxa"/>
            <w:vAlign w:val="center"/>
          </w:tcPr>
          <w:p w14:paraId="397F4C70"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ИПА III</w:t>
            </w:r>
            <w:r>
              <w:rPr>
                <w:rFonts w:ascii="Times New Roman" w:hAnsi="Times New Roman" w:cs="Times New Roman"/>
                <w:sz w:val="16"/>
                <w:szCs w:val="16"/>
              </w:rPr>
              <w:br/>
            </w:r>
            <w:r>
              <w:rPr>
                <w:rFonts w:ascii="Times New Roman" w:eastAsia="Arial" w:hAnsi="Times New Roman" w:cs="Times New Roman"/>
                <w:sz w:val="16"/>
                <w:szCs w:val="16"/>
              </w:rPr>
              <w:t>ИНОВА</w:t>
            </w:r>
            <w:r>
              <w:rPr>
                <w:rFonts w:ascii="Times New Roman" w:hAnsi="Times New Roman" w:cs="Times New Roman"/>
                <w:sz w:val="16"/>
                <w:szCs w:val="16"/>
              </w:rPr>
              <w:br/>
            </w:r>
            <w:r>
              <w:rPr>
                <w:rFonts w:ascii="Times New Roman" w:eastAsia="Arial" w:hAnsi="Times New Roman" w:cs="Times New Roman"/>
                <w:sz w:val="16"/>
                <w:szCs w:val="16"/>
              </w:rPr>
              <w:t>Буџет на РСМ</w:t>
            </w:r>
          </w:p>
        </w:tc>
        <w:tc>
          <w:tcPr>
            <w:tcW w:w="3346" w:type="dxa"/>
            <w:vMerge w:val="restart"/>
            <w:tcMar>
              <w:top w:w="35" w:type="dxa"/>
              <w:left w:w="45" w:type="dxa"/>
              <w:bottom w:w="35" w:type="dxa"/>
              <w:right w:w="45" w:type="dxa"/>
            </w:tcMar>
            <w:vAlign w:val="center"/>
          </w:tcPr>
          <w:p w14:paraId="63A438FB"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Показател на резултат: МСП поддржани преку грантова шема за ВИ.</w:t>
            </w:r>
          </w:p>
          <w:p w14:paraId="2E2ADC49"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Почетна вредност (2027): Нема објавен повик и 0 поддржани МСП.</w:t>
            </w:r>
          </w:p>
          <w:p w14:paraId="3D51B3F6"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 xml:space="preserve">Преодна вредност (2028): 1 повик и најмалку 25 поддржани МСП; продуктивност +5%. </w:t>
            </w:r>
          </w:p>
          <w:p w14:paraId="0271BD3C" w14:textId="77777777" w:rsidR="00FE200F" w:rsidRDefault="00E77CAF">
            <w:pPr>
              <w:spacing w:line="216" w:lineRule="auto"/>
              <w:rPr>
                <w:rFonts w:ascii="Times New Roman" w:hAnsi="Times New Roman" w:cs="Times New Roman"/>
                <w:sz w:val="16"/>
                <w:szCs w:val="16"/>
                <w:lang w:val="mk-MK"/>
              </w:rPr>
            </w:pPr>
            <w:r>
              <w:rPr>
                <w:rFonts w:ascii="Times New Roman" w:eastAsia="Arial" w:hAnsi="Times New Roman" w:cs="Times New Roman"/>
                <w:sz w:val="16"/>
                <w:szCs w:val="16"/>
              </w:rPr>
              <w:t>Крајна вредност (2029): 1 повик и најмалку 50 поддржани МСП; продуктивност +10%.</w:t>
            </w:r>
          </w:p>
        </w:tc>
      </w:tr>
      <w:tr w:rsidR="00FE200F" w14:paraId="30CBC817" w14:textId="77777777">
        <w:trPr>
          <w:cantSplit/>
          <w:jc w:val="center"/>
        </w:trPr>
        <w:tc>
          <w:tcPr>
            <w:tcW w:w="1900" w:type="dxa"/>
            <w:vMerge/>
            <w:tcMar>
              <w:top w:w="50" w:type="dxa"/>
              <w:left w:w="55" w:type="dxa"/>
              <w:bottom w:w="50" w:type="dxa"/>
              <w:right w:w="55" w:type="dxa"/>
            </w:tcMar>
          </w:tcPr>
          <w:p w14:paraId="1387A4EA" w14:textId="77777777" w:rsidR="00FE200F" w:rsidRDefault="00FE200F">
            <w:pPr>
              <w:rPr>
                <w:rFonts w:ascii="Times New Roman" w:hAnsi="Times New Roman" w:cs="Times New Roman"/>
                <w:sz w:val="16"/>
                <w:szCs w:val="16"/>
              </w:rPr>
            </w:pPr>
          </w:p>
        </w:tc>
        <w:tc>
          <w:tcPr>
            <w:tcW w:w="3202" w:type="dxa"/>
            <w:vAlign w:val="center"/>
          </w:tcPr>
          <w:p w14:paraId="55CE5F00"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А2.1.1.2. Објавување на повик и селекција на минимум 50 МСП</w:t>
            </w:r>
          </w:p>
        </w:tc>
        <w:tc>
          <w:tcPr>
            <w:tcW w:w="1899" w:type="dxa"/>
            <w:tcMar>
              <w:top w:w="50" w:type="dxa"/>
              <w:left w:w="55" w:type="dxa"/>
              <w:bottom w:w="50" w:type="dxa"/>
              <w:right w:w="55" w:type="dxa"/>
            </w:tcMar>
          </w:tcPr>
          <w:p w14:paraId="691F7377"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ИНОВА</w:t>
            </w:r>
            <w:r>
              <w:rPr>
                <w:rFonts w:ascii="Times New Roman" w:hAnsi="Times New Roman" w:cs="Times New Roman"/>
                <w:sz w:val="16"/>
                <w:szCs w:val="16"/>
              </w:rPr>
              <w:br/>
            </w:r>
            <w:r>
              <w:rPr>
                <w:rFonts w:ascii="Times New Roman" w:eastAsia="Arial" w:hAnsi="Times New Roman" w:cs="Times New Roman"/>
                <w:sz w:val="16"/>
                <w:szCs w:val="16"/>
              </w:rPr>
              <w:t>МЕ</w:t>
            </w:r>
          </w:p>
        </w:tc>
        <w:tc>
          <w:tcPr>
            <w:tcW w:w="1152" w:type="dxa"/>
            <w:tcMar>
              <w:top w:w="50" w:type="dxa"/>
              <w:left w:w="55" w:type="dxa"/>
              <w:bottom w:w="50" w:type="dxa"/>
              <w:right w:w="55" w:type="dxa"/>
            </w:tcMar>
          </w:tcPr>
          <w:p w14:paraId="769D8EB8"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Q1 2028</w:t>
            </w:r>
          </w:p>
        </w:tc>
        <w:tc>
          <w:tcPr>
            <w:tcW w:w="1299" w:type="dxa"/>
            <w:tcMar>
              <w:top w:w="50" w:type="dxa"/>
              <w:left w:w="55" w:type="dxa"/>
              <w:bottom w:w="50" w:type="dxa"/>
              <w:right w:w="55" w:type="dxa"/>
            </w:tcMar>
          </w:tcPr>
          <w:p w14:paraId="157917AA"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Q4 2029</w:t>
            </w:r>
          </w:p>
        </w:tc>
        <w:tc>
          <w:tcPr>
            <w:tcW w:w="1501" w:type="dxa"/>
            <w:tcMar>
              <w:top w:w="50" w:type="dxa"/>
              <w:left w:w="55" w:type="dxa"/>
              <w:bottom w:w="50" w:type="dxa"/>
              <w:right w:w="55" w:type="dxa"/>
            </w:tcMar>
          </w:tcPr>
          <w:p w14:paraId="618DA11C" w14:textId="630080C1" w:rsidR="00FE200F" w:rsidRDefault="00F418D6">
            <w:pPr>
              <w:spacing w:line="216" w:lineRule="auto"/>
              <w:rPr>
                <w:rFonts w:ascii="Times New Roman" w:hAnsi="Times New Roman" w:cs="Times New Roman"/>
                <w:sz w:val="16"/>
                <w:szCs w:val="16"/>
              </w:rPr>
            </w:pPr>
            <w:r>
              <w:rPr>
                <w:rFonts w:ascii="Times New Roman" w:eastAsia="Arial" w:hAnsi="Times New Roman" w:cs="Times New Roman"/>
                <w:sz w:val="16"/>
                <w:szCs w:val="16"/>
              </w:rPr>
              <w:t>0</w:t>
            </w:r>
          </w:p>
        </w:tc>
        <w:tc>
          <w:tcPr>
            <w:tcW w:w="1699" w:type="dxa"/>
            <w:tcMar>
              <w:top w:w="50" w:type="dxa"/>
              <w:left w:w="55" w:type="dxa"/>
              <w:bottom w:w="50" w:type="dxa"/>
              <w:right w:w="55" w:type="dxa"/>
            </w:tcMar>
          </w:tcPr>
          <w:p w14:paraId="116A8C89"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 xml:space="preserve">ИПА </w:t>
            </w:r>
            <w:r>
              <w:rPr>
                <w:rFonts w:ascii="Times New Roman" w:eastAsia="Arial" w:hAnsi="Times New Roman" w:cs="Times New Roman"/>
                <w:sz w:val="16"/>
                <w:szCs w:val="16"/>
              </w:rPr>
              <w:t>III</w:t>
            </w:r>
            <w:r>
              <w:rPr>
                <w:rFonts w:ascii="Times New Roman" w:hAnsi="Times New Roman" w:cs="Times New Roman"/>
                <w:sz w:val="16"/>
                <w:szCs w:val="16"/>
              </w:rPr>
              <w:br/>
            </w:r>
            <w:r>
              <w:rPr>
                <w:rFonts w:ascii="Times New Roman" w:eastAsia="Arial" w:hAnsi="Times New Roman" w:cs="Times New Roman"/>
                <w:sz w:val="16"/>
                <w:szCs w:val="16"/>
              </w:rPr>
              <w:t>ИНОВА</w:t>
            </w:r>
            <w:r>
              <w:rPr>
                <w:rFonts w:ascii="Times New Roman" w:hAnsi="Times New Roman" w:cs="Times New Roman"/>
                <w:sz w:val="16"/>
                <w:szCs w:val="16"/>
              </w:rPr>
              <w:br/>
            </w:r>
            <w:r>
              <w:rPr>
                <w:rFonts w:ascii="Times New Roman" w:eastAsia="Arial" w:hAnsi="Times New Roman" w:cs="Times New Roman"/>
                <w:sz w:val="16"/>
                <w:szCs w:val="16"/>
              </w:rPr>
              <w:t>Буџет на РСМ</w:t>
            </w:r>
          </w:p>
        </w:tc>
        <w:tc>
          <w:tcPr>
            <w:tcW w:w="3346" w:type="dxa"/>
            <w:vMerge/>
            <w:tcMar>
              <w:top w:w="50" w:type="dxa"/>
              <w:left w:w="55" w:type="dxa"/>
              <w:bottom w:w="50" w:type="dxa"/>
              <w:right w:w="55" w:type="dxa"/>
            </w:tcMar>
          </w:tcPr>
          <w:p w14:paraId="3F9E23AF" w14:textId="77777777" w:rsidR="00FE200F" w:rsidRDefault="00FE200F">
            <w:pPr>
              <w:rPr>
                <w:rFonts w:ascii="Times New Roman" w:hAnsi="Times New Roman" w:cs="Times New Roman"/>
                <w:sz w:val="16"/>
                <w:szCs w:val="16"/>
              </w:rPr>
            </w:pPr>
          </w:p>
        </w:tc>
      </w:tr>
      <w:tr w:rsidR="00FE200F" w14:paraId="463F57B2" w14:textId="77777777">
        <w:trPr>
          <w:cantSplit/>
          <w:jc w:val="center"/>
        </w:trPr>
        <w:tc>
          <w:tcPr>
            <w:tcW w:w="1900" w:type="dxa"/>
            <w:vMerge/>
            <w:tcMar>
              <w:top w:w="50" w:type="dxa"/>
              <w:left w:w="55" w:type="dxa"/>
              <w:bottom w:w="50" w:type="dxa"/>
              <w:right w:w="55" w:type="dxa"/>
            </w:tcMar>
          </w:tcPr>
          <w:p w14:paraId="14C7FA31" w14:textId="77777777" w:rsidR="00FE200F" w:rsidRDefault="00FE200F">
            <w:pPr>
              <w:rPr>
                <w:rFonts w:ascii="Times New Roman" w:hAnsi="Times New Roman" w:cs="Times New Roman"/>
                <w:sz w:val="16"/>
                <w:szCs w:val="16"/>
              </w:rPr>
            </w:pPr>
          </w:p>
        </w:tc>
        <w:tc>
          <w:tcPr>
            <w:tcW w:w="3202" w:type="dxa"/>
            <w:vAlign w:val="center"/>
          </w:tcPr>
          <w:p w14:paraId="56D5E97D"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А2.1.1.3. Имплементација и мониторинг на проектите</w:t>
            </w:r>
          </w:p>
        </w:tc>
        <w:tc>
          <w:tcPr>
            <w:tcW w:w="1899" w:type="dxa"/>
            <w:tcMar>
              <w:top w:w="50" w:type="dxa"/>
              <w:left w:w="55" w:type="dxa"/>
              <w:bottom w:w="50" w:type="dxa"/>
              <w:right w:w="55" w:type="dxa"/>
            </w:tcMar>
          </w:tcPr>
          <w:p w14:paraId="676B4962"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ИНОВА</w:t>
            </w:r>
            <w:r>
              <w:rPr>
                <w:rFonts w:ascii="Times New Roman" w:hAnsi="Times New Roman" w:cs="Times New Roman"/>
                <w:sz w:val="16"/>
                <w:szCs w:val="16"/>
              </w:rPr>
              <w:br/>
            </w:r>
            <w:r>
              <w:rPr>
                <w:rFonts w:ascii="Times New Roman" w:eastAsia="Arial" w:hAnsi="Times New Roman" w:cs="Times New Roman"/>
                <w:sz w:val="16"/>
                <w:szCs w:val="16"/>
              </w:rPr>
              <w:t>МЕ</w:t>
            </w:r>
          </w:p>
        </w:tc>
        <w:tc>
          <w:tcPr>
            <w:tcW w:w="1152" w:type="dxa"/>
            <w:tcMar>
              <w:top w:w="50" w:type="dxa"/>
              <w:left w:w="55" w:type="dxa"/>
              <w:bottom w:w="50" w:type="dxa"/>
              <w:right w:w="55" w:type="dxa"/>
            </w:tcMar>
          </w:tcPr>
          <w:p w14:paraId="19EB20CD"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Q1 2028</w:t>
            </w:r>
          </w:p>
        </w:tc>
        <w:tc>
          <w:tcPr>
            <w:tcW w:w="1299" w:type="dxa"/>
            <w:tcMar>
              <w:top w:w="50" w:type="dxa"/>
              <w:left w:w="55" w:type="dxa"/>
              <w:bottom w:w="50" w:type="dxa"/>
              <w:right w:w="55" w:type="dxa"/>
            </w:tcMar>
          </w:tcPr>
          <w:p w14:paraId="6C561709"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Q4 2029</w:t>
            </w:r>
          </w:p>
        </w:tc>
        <w:tc>
          <w:tcPr>
            <w:tcW w:w="1501" w:type="dxa"/>
            <w:tcMar>
              <w:top w:w="50" w:type="dxa"/>
              <w:left w:w="55" w:type="dxa"/>
              <w:bottom w:w="50" w:type="dxa"/>
              <w:right w:w="55" w:type="dxa"/>
            </w:tcMar>
          </w:tcPr>
          <w:p w14:paraId="3DBEA7CF" w14:textId="71786C6F" w:rsidR="00FE200F" w:rsidRDefault="00F418D6">
            <w:pPr>
              <w:spacing w:line="216" w:lineRule="auto"/>
              <w:rPr>
                <w:rFonts w:ascii="Times New Roman" w:hAnsi="Times New Roman" w:cs="Times New Roman"/>
                <w:sz w:val="16"/>
                <w:szCs w:val="16"/>
              </w:rPr>
            </w:pPr>
            <w:r>
              <w:rPr>
                <w:rFonts w:ascii="Times New Roman" w:eastAsia="Arial" w:hAnsi="Times New Roman" w:cs="Times New Roman"/>
                <w:sz w:val="16"/>
                <w:szCs w:val="16"/>
              </w:rPr>
              <w:t>30.000.000</w:t>
            </w:r>
          </w:p>
        </w:tc>
        <w:tc>
          <w:tcPr>
            <w:tcW w:w="1699" w:type="dxa"/>
            <w:tcMar>
              <w:top w:w="50" w:type="dxa"/>
              <w:left w:w="55" w:type="dxa"/>
              <w:bottom w:w="50" w:type="dxa"/>
              <w:right w:w="55" w:type="dxa"/>
            </w:tcMar>
          </w:tcPr>
          <w:p w14:paraId="56388D7C"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ИПА III</w:t>
            </w:r>
            <w:r>
              <w:rPr>
                <w:rFonts w:ascii="Times New Roman" w:hAnsi="Times New Roman" w:cs="Times New Roman"/>
                <w:sz w:val="16"/>
                <w:szCs w:val="16"/>
              </w:rPr>
              <w:br/>
            </w:r>
            <w:r>
              <w:rPr>
                <w:rFonts w:ascii="Times New Roman" w:eastAsia="Arial" w:hAnsi="Times New Roman" w:cs="Times New Roman"/>
                <w:sz w:val="16"/>
                <w:szCs w:val="16"/>
              </w:rPr>
              <w:t>ИНОВА</w:t>
            </w:r>
            <w:r>
              <w:rPr>
                <w:rFonts w:ascii="Times New Roman" w:hAnsi="Times New Roman" w:cs="Times New Roman"/>
                <w:sz w:val="16"/>
                <w:szCs w:val="16"/>
              </w:rPr>
              <w:br/>
            </w:r>
            <w:r>
              <w:rPr>
                <w:rFonts w:ascii="Times New Roman" w:eastAsia="Arial" w:hAnsi="Times New Roman" w:cs="Times New Roman"/>
                <w:sz w:val="16"/>
                <w:szCs w:val="16"/>
              </w:rPr>
              <w:t>Буџет на РСМ</w:t>
            </w:r>
          </w:p>
        </w:tc>
        <w:tc>
          <w:tcPr>
            <w:tcW w:w="3346" w:type="dxa"/>
            <w:vMerge/>
            <w:tcMar>
              <w:top w:w="50" w:type="dxa"/>
              <w:left w:w="55" w:type="dxa"/>
              <w:bottom w:w="50" w:type="dxa"/>
              <w:right w:w="55" w:type="dxa"/>
            </w:tcMar>
          </w:tcPr>
          <w:p w14:paraId="5298AD5B" w14:textId="77777777" w:rsidR="00FE200F" w:rsidRDefault="00FE200F">
            <w:pPr>
              <w:rPr>
                <w:rFonts w:ascii="Times New Roman" w:hAnsi="Times New Roman" w:cs="Times New Roman"/>
                <w:sz w:val="16"/>
                <w:szCs w:val="16"/>
              </w:rPr>
            </w:pPr>
          </w:p>
        </w:tc>
      </w:tr>
      <w:tr w:rsidR="00FE200F" w14:paraId="7AB72B44" w14:textId="77777777">
        <w:trPr>
          <w:cantSplit/>
          <w:jc w:val="center"/>
        </w:trPr>
        <w:tc>
          <w:tcPr>
            <w:tcW w:w="1900" w:type="dxa"/>
            <w:vMerge w:val="restart"/>
            <w:vAlign w:val="center"/>
          </w:tcPr>
          <w:p w14:paraId="07142720"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b/>
                <w:sz w:val="16"/>
                <w:szCs w:val="16"/>
              </w:rPr>
              <w:t>М2.1.2. Менторска и консултантска поддршка за МСП</w:t>
            </w:r>
          </w:p>
        </w:tc>
        <w:tc>
          <w:tcPr>
            <w:tcW w:w="3202" w:type="dxa"/>
            <w:vAlign w:val="center"/>
          </w:tcPr>
          <w:p w14:paraId="2B2DB9D6"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А2.1.2.1. Формирање на мрежа од 20 сертифицирани ВИ ментори</w:t>
            </w:r>
          </w:p>
        </w:tc>
        <w:tc>
          <w:tcPr>
            <w:tcW w:w="1899" w:type="dxa"/>
            <w:vAlign w:val="center"/>
          </w:tcPr>
          <w:p w14:paraId="143F1DF6"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Стопански комори</w:t>
            </w:r>
            <w:r>
              <w:rPr>
                <w:rFonts w:ascii="Times New Roman" w:hAnsi="Times New Roman" w:cs="Times New Roman"/>
                <w:sz w:val="16"/>
                <w:szCs w:val="16"/>
              </w:rPr>
              <w:br/>
            </w:r>
            <w:r>
              <w:rPr>
                <w:rFonts w:ascii="Times New Roman" w:eastAsia="Arial" w:hAnsi="Times New Roman" w:cs="Times New Roman"/>
                <w:sz w:val="16"/>
                <w:szCs w:val="16"/>
              </w:rPr>
              <w:t>МАСИТ</w:t>
            </w:r>
            <w:r>
              <w:rPr>
                <w:rFonts w:ascii="Times New Roman" w:hAnsi="Times New Roman" w:cs="Times New Roman"/>
                <w:sz w:val="16"/>
                <w:szCs w:val="16"/>
              </w:rPr>
              <w:br/>
            </w:r>
            <w:r>
              <w:rPr>
                <w:rFonts w:ascii="Times New Roman" w:eastAsia="Arial" w:hAnsi="Times New Roman" w:cs="Times New Roman"/>
                <w:sz w:val="16"/>
                <w:szCs w:val="16"/>
              </w:rPr>
              <w:t>МЕТ</w:t>
            </w:r>
          </w:p>
        </w:tc>
        <w:tc>
          <w:tcPr>
            <w:tcW w:w="1152" w:type="dxa"/>
            <w:vAlign w:val="center"/>
          </w:tcPr>
          <w:p w14:paraId="546D2A54"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Q2 2028</w:t>
            </w:r>
          </w:p>
        </w:tc>
        <w:tc>
          <w:tcPr>
            <w:tcW w:w="1299" w:type="dxa"/>
            <w:vAlign w:val="center"/>
          </w:tcPr>
          <w:p w14:paraId="7AFDA8B0"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Q2 2028</w:t>
            </w:r>
          </w:p>
        </w:tc>
        <w:tc>
          <w:tcPr>
            <w:tcW w:w="1501" w:type="dxa"/>
            <w:vAlign w:val="center"/>
          </w:tcPr>
          <w:p w14:paraId="703D4F69" w14:textId="6CCF8315" w:rsidR="00FE200F" w:rsidRDefault="00F418D6">
            <w:pPr>
              <w:spacing w:line="216" w:lineRule="auto"/>
              <w:rPr>
                <w:rFonts w:ascii="Times New Roman" w:hAnsi="Times New Roman" w:cs="Times New Roman"/>
                <w:sz w:val="16"/>
                <w:szCs w:val="16"/>
              </w:rPr>
            </w:pPr>
            <w:r>
              <w:rPr>
                <w:rFonts w:ascii="Times New Roman" w:eastAsia="Arial" w:hAnsi="Times New Roman" w:cs="Times New Roman"/>
                <w:sz w:val="16"/>
                <w:szCs w:val="16"/>
              </w:rPr>
              <w:t>0</w:t>
            </w:r>
          </w:p>
        </w:tc>
        <w:tc>
          <w:tcPr>
            <w:tcW w:w="1699" w:type="dxa"/>
            <w:vAlign w:val="center"/>
          </w:tcPr>
          <w:p w14:paraId="7B1C6980"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Донатори</w:t>
            </w:r>
            <w:r>
              <w:rPr>
                <w:rFonts w:ascii="Times New Roman" w:hAnsi="Times New Roman" w:cs="Times New Roman"/>
                <w:sz w:val="16"/>
                <w:szCs w:val="16"/>
              </w:rPr>
              <w:br/>
            </w:r>
            <w:r>
              <w:rPr>
                <w:rFonts w:ascii="Times New Roman" w:eastAsia="Arial" w:hAnsi="Times New Roman" w:cs="Times New Roman"/>
                <w:sz w:val="16"/>
                <w:szCs w:val="16"/>
              </w:rPr>
              <w:t>Буџет на РСМ</w:t>
            </w:r>
          </w:p>
        </w:tc>
        <w:tc>
          <w:tcPr>
            <w:tcW w:w="3346" w:type="dxa"/>
            <w:vMerge w:val="restart"/>
            <w:tcMar>
              <w:top w:w="35" w:type="dxa"/>
              <w:left w:w="45" w:type="dxa"/>
              <w:bottom w:w="35" w:type="dxa"/>
              <w:right w:w="45" w:type="dxa"/>
            </w:tcMar>
            <w:vAlign w:val="center"/>
          </w:tcPr>
          <w:p w14:paraId="0C08452B"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Показател на резултат: МСП со достапна ВИ менторска и дијагностичка поддршка.</w:t>
            </w:r>
          </w:p>
          <w:p w14:paraId="34524B3A"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Почетна вредност (2027): 0 ментори, средби и дијагностики.</w:t>
            </w:r>
          </w:p>
          <w:p w14:paraId="541CCA48"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 xml:space="preserve">Преодна вредност (2028): 10 ментори, 3 B2B средби и </w:t>
            </w:r>
            <w:r>
              <w:rPr>
                <w:rFonts w:ascii="Times New Roman" w:eastAsia="Arial" w:hAnsi="Times New Roman" w:cs="Times New Roman"/>
                <w:sz w:val="16"/>
                <w:szCs w:val="16"/>
              </w:rPr>
              <w:t xml:space="preserve">50 дијагностики. </w:t>
            </w:r>
          </w:p>
          <w:p w14:paraId="6F8920AB" w14:textId="77777777" w:rsidR="00FE200F" w:rsidRDefault="00E77CAF">
            <w:pPr>
              <w:spacing w:line="216" w:lineRule="auto"/>
              <w:rPr>
                <w:rFonts w:ascii="Times New Roman" w:hAnsi="Times New Roman" w:cs="Times New Roman"/>
                <w:sz w:val="16"/>
                <w:szCs w:val="16"/>
                <w:lang w:val="mk-MK"/>
              </w:rPr>
            </w:pPr>
            <w:r>
              <w:rPr>
                <w:rFonts w:ascii="Times New Roman" w:eastAsia="Arial" w:hAnsi="Times New Roman" w:cs="Times New Roman"/>
                <w:sz w:val="16"/>
                <w:szCs w:val="16"/>
              </w:rPr>
              <w:t>Крајна вредност (2029): 20 ментори, 6 B2B средби и 100 дијагностики.</w:t>
            </w:r>
          </w:p>
        </w:tc>
      </w:tr>
      <w:tr w:rsidR="00FE200F" w14:paraId="53674089" w14:textId="77777777">
        <w:trPr>
          <w:cantSplit/>
          <w:jc w:val="center"/>
        </w:trPr>
        <w:tc>
          <w:tcPr>
            <w:tcW w:w="1900" w:type="dxa"/>
            <w:vMerge/>
            <w:tcMar>
              <w:top w:w="50" w:type="dxa"/>
              <w:left w:w="55" w:type="dxa"/>
              <w:bottom w:w="50" w:type="dxa"/>
              <w:right w:w="55" w:type="dxa"/>
            </w:tcMar>
          </w:tcPr>
          <w:p w14:paraId="6003C62A" w14:textId="77777777" w:rsidR="00FE200F" w:rsidRDefault="00FE200F">
            <w:pPr>
              <w:rPr>
                <w:rFonts w:ascii="Times New Roman" w:hAnsi="Times New Roman" w:cs="Times New Roman"/>
                <w:sz w:val="16"/>
                <w:szCs w:val="16"/>
              </w:rPr>
            </w:pPr>
          </w:p>
        </w:tc>
        <w:tc>
          <w:tcPr>
            <w:tcW w:w="3202" w:type="dxa"/>
            <w:vAlign w:val="center"/>
          </w:tcPr>
          <w:p w14:paraId="0BD619D8"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А2.1.2.2. Организирање на B2B средби и matchmaking настани</w:t>
            </w:r>
          </w:p>
        </w:tc>
        <w:tc>
          <w:tcPr>
            <w:tcW w:w="1899" w:type="dxa"/>
            <w:tcMar>
              <w:top w:w="50" w:type="dxa"/>
              <w:left w:w="55" w:type="dxa"/>
              <w:bottom w:w="50" w:type="dxa"/>
              <w:right w:w="55" w:type="dxa"/>
            </w:tcMar>
          </w:tcPr>
          <w:p w14:paraId="2FAA2C1E"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Стопански комори</w:t>
            </w:r>
            <w:r>
              <w:rPr>
                <w:rFonts w:ascii="Times New Roman" w:hAnsi="Times New Roman" w:cs="Times New Roman"/>
                <w:sz w:val="16"/>
                <w:szCs w:val="16"/>
              </w:rPr>
              <w:br/>
            </w:r>
            <w:r>
              <w:rPr>
                <w:rFonts w:ascii="Times New Roman" w:eastAsia="Arial" w:hAnsi="Times New Roman" w:cs="Times New Roman"/>
                <w:sz w:val="16"/>
                <w:szCs w:val="16"/>
              </w:rPr>
              <w:t>МАСИТ</w:t>
            </w:r>
            <w:r>
              <w:rPr>
                <w:rFonts w:ascii="Times New Roman" w:hAnsi="Times New Roman" w:cs="Times New Roman"/>
                <w:sz w:val="16"/>
                <w:szCs w:val="16"/>
              </w:rPr>
              <w:br/>
            </w:r>
            <w:r>
              <w:rPr>
                <w:rFonts w:ascii="Times New Roman" w:eastAsia="Arial" w:hAnsi="Times New Roman" w:cs="Times New Roman"/>
                <w:sz w:val="16"/>
                <w:szCs w:val="16"/>
              </w:rPr>
              <w:t>МЕТ</w:t>
            </w:r>
          </w:p>
        </w:tc>
        <w:tc>
          <w:tcPr>
            <w:tcW w:w="1152" w:type="dxa"/>
            <w:tcMar>
              <w:top w:w="50" w:type="dxa"/>
              <w:left w:w="55" w:type="dxa"/>
              <w:bottom w:w="50" w:type="dxa"/>
              <w:right w:w="55" w:type="dxa"/>
            </w:tcMar>
          </w:tcPr>
          <w:p w14:paraId="2E6B3AAA"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Q2 2028</w:t>
            </w:r>
          </w:p>
        </w:tc>
        <w:tc>
          <w:tcPr>
            <w:tcW w:w="1299" w:type="dxa"/>
            <w:tcMar>
              <w:top w:w="50" w:type="dxa"/>
              <w:left w:w="55" w:type="dxa"/>
              <w:bottom w:w="50" w:type="dxa"/>
              <w:right w:w="55" w:type="dxa"/>
            </w:tcMar>
          </w:tcPr>
          <w:p w14:paraId="62B65556"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Q2 2028</w:t>
            </w:r>
          </w:p>
        </w:tc>
        <w:tc>
          <w:tcPr>
            <w:tcW w:w="1501" w:type="dxa"/>
            <w:tcMar>
              <w:top w:w="50" w:type="dxa"/>
              <w:left w:w="55" w:type="dxa"/>
              <w:bottom w:w="50" w:type="dxa"/>
              <w:right w:w="55" w:type="dxa"/>
            </w:tcMar>
          </w:tcPr>
          <w:p w14:paraId="07F4AC52" w14:textId="6F3E11D0" w:rsidR="00FE200F" w:rsidRDefault="00F418D6">
            <w:pPr>
              <w:spacing w:line="216" w:lineRule="auto"/>
              <w:rPr>
                <w:rFonts w:ascii="Times New Roman" w:hAnsi="Times New Roman" w:cs="Times New Roman"/>
                <w:sz w:val="16"/>
                <w:szCs w:val="16"/>
              </w:rPr>
            </w:pPr>
            <w:r>
              <w:rPr>
                <w:rFonts w:ascii="Times New Roman" w:eastAsia="Arial" w:hAnsi="Times New Roman" w:cs="Times New Roman"/>
                <w:sz w:val="16"/>
                <w:szCs w:val="16"/>
              </w:rPr>
              <w:t>2.450.000</w:t>
            </w:r>
          </w:p>
        </w:tc>
        <w:tc>
          <w:tcPr>
            <w:tcW w:w="1699" w:type="dxa"/>
            <w:tcMar>
              <w:top w:w="50" w:type="dxa"/>
              <w:left w:w="55" w:type="dxa"/>
              <w:bottom w:w="50" w:type="dxa"/>
              <w:right w:w="55" w:type="dxa"/>
            </w:tcMar>
          </w:tcPr>
          <w:p w14:paraId="508384BA"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Донатори</w:t>
            </w:r>
            <w:r>
              <w:rPr>
                <w:rFonts w:ascii="Times New Roman" w:hAnsi="Times New Roman" w:cs="Times New Roman"/>
                <w:sz w:val="16"/>
                <w:szCs w:val="16"/>
              </w:rPr>
              <w:br/>
            </w:r>
            <w:r>
              <w:rPr>
                <w:rFonts w:ascii="Times New Roman" w:eastAsia="Arial" w:hAnsi="Times New Roman" w:cs="Times New Roman"/>
                <w:sz w:val="16"/>
                <w:szCs w:val="16"/>
              </w:rPr>
              <w:t>Буџет на РСМ</w:t>
            </w:r>
          </w:p>
        </w:tc>
        <w:tc>
          <w:tcPr>
            <w:tcW w:w="3346" w:type="dxa"/>
            <w:vMerge/>
            <w:tcMar>
              <w:top w:w="50" w:type="dxa"/>
              <w:left w:w="55" w:type="dxa"/>
              <w:bottom w:w="50" w:type="dxa"/>
              <w:right w:w="55" w:type="dxa"/>
            </w:tcMar>
          </w:tcPr>
          <w:p w14:paraId="6087C396" w14:textId="77777777" w:rsidR="00FE200F" w:rsidRDefault="00FE200F">
            <w:pPr>
              <w:rPr>
                <w:rFonts w:ascii="Times New Roman" w:hAnsi="Times New Roman" w:cs="Times New Roman"/>
                <w:sz w:val="16"/>
                <w:szCs w:val="16"/>
              </w:rPr>
            </w:pPr>
          </w:p>
        </w:tc>
      </w:tr>
      <w:tr w:rsidR="00FE200F" w14:paraId="169DDF98" w14:textId="77777777">
        <w:trPr>
          <w:cantSplit/>
          <w:jc w:val="center"/>
        </w:trPr>
        <w:tc>
          <w:tcPr>
            <w:tcW w:w="1900" w:type="dxa"/>
            <w:vMerge/>
            <w:tcMar>
              <w:top w:w="50" w:type="dxa"/>
              <w:left w:w="55" w:type="dxa"/>
              <w:bottom w:w="50" w:type="dxa"/>
              <w:right w:w="55" w:type="dxa"/>
            </w:tcMar>
          </w:tcPr>
          <w:p w14:paraId="3B23A8F4" w14:textId="77777777" w:rsidR="00FE200F" w:rsidRDefault="00FE200F">
            <w:pPr>
              <w:rPr>
                <w:rFonts w:ascii="Times New Roman" w:hAnsi="Times New Roman" w:cs="Times New Roman"/>
                <w:sz w:val="16"/>
                <w:szCs w:val="16"/>
              </w:rPr>
            </w:pPr>
          </w:p>
        </w:tc>
        <w:tc>
          <w:tcPr>
            <w:tcW w:w="3202" w:type="dxa"/>
            <w:vAlign w:val="center"/>
          </w:tcPr>
          <w:p w14:paraId="621562AB"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 xml:space="preserve">А2.1.2.3. Обезбедување на </w:t>
            </w:r>
            <w:r>
              <w:rPr>
                <w:rFonts w:ascii="Times New Roman" w:eastAsia="Arial" w:hAnsi="Times New Roman" w:cs="Times New Roman"/>
                <w:sz w:val="16"/>
                <w:szCs w:val="16"/>
              </w:rPr>
              <w:t>бесплатни ВИ дијагностики за 100 МСП</w:t>
            </w:r>
          </w:p>
        </w:tc>
        <w:tc>
          <w:tcPr>
            <w:tcW w:w="1899" w:type="dxa"/>
            <w:tcMar>
              <w:top w:w="50" w:type="dxa"/>
              <w:left w:w="55" w:type="dxa"/>
              <w:bottom w:w="50" w:type="dxa"/>
              <w:right w:w="55" w:type="dxa"/>
            </w:tcMar>
          </w:tcPr>
          <w:p w14:paraId="697725A4"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Стопански комори</w:t>
            </w:r>
            <w:r>
              <w:rPr>
                <w:rFonts w:ascii="Times New Roman" w:hAnsi="Times New Roman" w:cs="Times New Roman"/>
                <w:sz w:val="16"/>
                <w:szCs w:val="16"/>
              </w:rPr>
              <w:br/>
            </w:r>
            <w:r>
              <w:rPr>
                <w:rFonts w:ascii="Times New Roman" w:eastAsia="Arial" w:hAnsi="Times New Roman" w:cs="Times New Roman"/>
                <w:sz w:val="16"/>
                <w:szCs w:val="16"/>
              </w:rPr>
              <w:t>МАСИТ</w:t>
            </w:r>
            <w:r>
              <w:rPr>
                <w:rFonts w:ascii="Times New Roman" w:hAnsi="Times New Roman" w:cs="Times New Roman"/>
                <w:sz w:val="16"/>
                <w:szCs w:val="16"/>
              </w:rPr>
              <w:br/>
            </w:r>
            <w:r>
              <w:rPr>
                <w:rFonts w:ascii="Times New Roman" w:eastAsia="Arial" w:hAnsi="Times New Roman" w:cs="Times New Roman"/>
                <w:sz w:val="16"/>
                <w:szCs w:val="16"/>
              </w:rPr>
              <w:t>МЕТ</w:t>
            </w:r>
          </w:p>
        </w:tc>
        <w:tc>
          <w:tcPr>
            <w:tcW w:w="1152" w:type="dxa"/>
            <w:tcMar>
              <w:top w:w="50" w:type="dxa"/>
              <w:left w:w="55" w:type="dxa"/>
              <w:bottom w:w="50" w:type="dxa"/>
              <w:right w:w="55" w:type="dxa"/>
            </w:tcMar>
          </w:tcPr>
          <w:p w14:paraId="1AEBF785"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Q2 2028</w:t>
            </w:r>
          </w:p>
        </w:tc>
        <w:tc>
          <w:tcPr>
            <w:tcW w:w="1299" w:type="dxa"/>
            <w:tcMar>
              <w:top w:w="50" w:type="dxa"/>
              <w:left w:w="55" w:type="dxa"/>
              <w:bottom w:w="50" w:type="dxa"/>
              <w:right w:w="55" w:type="dxa"/>
            </w:tcMar>
          </w:tcPr>
          <w:p w14:paraId="69837537"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Q2 2028</w:t>
            </w:r>
          </w:p>
        </w:tc>
        <w:tc>
          <w:tcPr>
            <w:tcW w:w="1501" w:type="dxa"/>
            <w:tcMar>
              <w:top w:w="50" w:type="dxa"/>
              <w:left w:w="55" w:type="dxa"/>
              <w:bottom w:w="50" w:type="dxa"/>
              <w:right w:w="55" w:type="dxa"/>
            </w:tcMar>
          </w:tcPr>
          <w:p w14:paraId="7334BF41" w14:textId="00E8B1EA" w:rsidR="00FE200F" w:rsidRDefault="00F418D6">
            <w:pPr>
              <w:spacing w:line="216" w:lineRule="auto"/>
              <w:rPr>
                <w:rFonts w:ascii="Times New Roman" w:hAnsi="Times New Roman" w:cs="Times New Roman"/>
                <w:sz w:val="16"/>
                <w:szCs w:val="16"/>
              </w:rPr>
            </w:pPr>
            <w:r>
              <w:rPr>
                <w:rFonts w:ascii="Times New Roman" w:eastAsia="Arial" w:hAnsi="Times New Roman" w:cs="Times New Roman"/>
                <w:sz w:val="16"/>
                <w:szCs w:val="16"/>
              </w:rPr>
              <w:t>2.450.000</w:t>
            </w:r>
          </w:p>
        </w:tc>
        <w:tc>
          <w:tcPr>
            <w:tcW w:w="1699" w:type="dxa"/>
            <w:tcMar>
              <w:top w:w="50" w:type="dxa"/>
              <w:left w:w="55" w:type="dxa"/>
              <w:bottom w:w="50" w:type="dxa"/>
              <w:right w:w="55" w:type="dxa"/>
            </w:tcMar>
          </w:tcPr>
          <w:p w14:paraId="499A1F9E"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Донатори</w:t>
            </w:r>
            <w:r>
              <w:rPr>
                <w:rFonts w:ascii="Times New Roman" w:hAnsi="Times New Roman" w:cs="Times New Roman"/>
                <w:sz w:val="16"/>
                <w:szCs w:val="16"/>
              </w:rPr>
              <w:br/>
            </w:r>
            <w:r>
              <w:rPr>
                <w:rFonts w:ascii="Times New Roman" w:eastAsia="Arial" w:hAnsi="Times New Roman" w:cs="Times New Roman"/>
                <w:sz w:val="16"/>
                <w:szCs w:val="16"/>
              </w:rPr>
              <w:t>Буџет на РСМ</w:t>
            </w:r>
          </w:p>
        </w:tc>
        <w:tc>
          <w:tcPr>
            <w:tcW w:w="3346" w:type="dxa"/>
            <w:vMerge/>
            <w:tcMar>
              <w:top w:w="50" w:type="dxa"/>
              <w:left w:w="55" w:type="dxa"/>
              <w:bottom w:w="50" w:type="dxa"/>
              <w:right w:w="55" w:type="dxa"/>
            </w:tcMar>
          </w:tcPr>
          <w:p w14:paraId="38BBC5BE" w14:textId="77777777" w:rsidR="00FE200F" w:rsidRDefault="00FE200F">
            <w:pPr>
              <w:rPr>
                <w:rFonts w:ascii="Times New Roman" w:hAnsi="Times New Roman" w:cs="Times New Roman"/>
                <w:sz w:val="16"/>
                <w:szCs w:val="16"/>
              </w:rPr>
            </w:pPr>
          </w:p>
        </w:tc>
      </w:tr>
      <w:tr w:rsidR="00FE200F" w14:paraId="10707B5D" w14:textId="77777777">
        <w:trPr>
          <w:cantSplit/>
          <w:jc w:val="center"/>
        </w:trPr>
        <w:tc>
          <w:tcPr>
            <w:tcW w:w="8153" w:type="dxa"/>
            <w:gridSpan w:val="4"/>
            <w:shd w:val="clear" w:color="auto" w:fill="E7E6E6"/>
            <w:vAlign w:val="center"/>
          </w:tcPr>
          <w:p w14:paraId="41978E54"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b/>
                <w:sz w:val="16"/>
                <w:szCs w:val="16"/>
              </w:rPr>
              <w:t>Посебна цел 2.2. Поддршка на ВИ стартап екосистемот и иновации</w:t>
            </w:r>
          </w:p>
        </w:tc>
        <w:tc>
          <w:tcPr>
            <w:tcW w:w="7845" w:type="dxa"/>
            <w:gridSpan w:val="4"/>
            <w:shd w:val="clear" w:color="auto" w:fill="F2F2F2"/>
            <w:vAlign w:val="center"/>
          </w:tcPr>
          <w:p w14:paraId="6E3C0AA0"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 xml:space="preserve">ПОКАЗАТЕЛ НА ИСХОД: Функционален ВИ стартап фонд и акцелераторска </w:t>
            </w:r>
            <w:r>
              <w:rPr>
                <w:rFonts w:ascii="Times New Roman" w:eastAsia="Arial" w:hAnsi="Times New Roman" w:cs="Times New Roman"/>
                <w:sz w:val="16"/>
                <w:szCs w:val="16"/>
              </w:rPr>
              <w:t>програма.Почетна вредност (2027): Нема наменски фонд или кохорти.Преодна вредност (2028): Основан фонд; најмалку 8 поддржани стартапи и 2 кохорти. Крајна вредност (2029): Основан фонд; најмалку 15 поддржани стартапи и 4 кохорти.</w:t>
            </w:r>
          </w:p>
        </w:tc>
      </w:tr>
      <w:tr w:rsidR="00FE200F" w14:paraId="0B75E677" w14:textId="77777777">
        <w:trPr>
          <w:cantSplit/>
          <w:jc w:val="center"/>
        </w:trPr>
        <w:tc>
          <w:tcPr>
            <w:tcW w:w="1900" w:type="dxa"/>
            <w:vMerge w:val="restart"/>
            <w:vAlign w:val="center"/>
          </w:tcPr>
          <w:p w14:paraId="46394D2A"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b/>
                <w:sz w:val="16"/>
                <w:szCs w:val="16"/>
              </w:rPr>
              <w:t xml:space="preserve">М2.2.1. ВИ акцелераторска </w:t>
            </w:r>
            <w:r>
              <w:rPr>
                <w:rFonts w:ascii="Times New Roman" w:eastAsia="Arial" w:hAnsi="Times New Roman" w:cs="Times New Roman"/>
                <w:b/>
                <w:sz w:val="16"/>
                <w:szCs w:val="16"/>
              </w:rPr>
              <w:t>програма и инвестициски фонд</w:t>
            </w:r>
          </w:p>
        </w:tc>
        <w:tc>
          <w:tcPr>
            <w:tcW w:w="3202" w:type="dxa"/>
            <w:vAlign w:val="center"/>
          </w:tcPr>
          <w:p w14:paraId="1F522ECF"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А2.2.1.1. Формирање на наменски ВИ инвестициски фонд (seed/pre-seed)</w:t>
            </w:r>
          </w:p>
        </w:tc>
        <w:tc>
          <w:tcPr>
            <w:tcW w:w="1899" w:type="dxa"/>
            <w:vAlign w:val="center"/>
          </w:tcPr>
          <w:p w14:paraId="2EDA79EA"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ИНОВА</w:t>
            </w:r>
            <w:r>
              <w:rPr>
                <w:rFonts w:ascii="Times New Roman" w:hAnsi="Times New Roman" w:cs="Times New Roman"/>
                <w:sz w:val="16"/>
                <w:szCs w:val="16"/>
              </w:rPr>
              <w:br/>
            </w:r>
            <w:r>
              <w:rPr>
                <w:rFonts w:ascii="Times New Roman" w:eastAsia="Arial" w:hAnsi="Times New Roman" w:cs="Times New Roman"/>
                <w:sz w:val="16"/>
                <w:szCs w:val="16"/>
              </w:rPr>
              <w:t>МЕТ</w:t>
            </w:r>
          </w:p>
        </w:tc>
        <w:tc>
          <w:tcPr>
            <w:tcW w:w="1152" w:type="dxa"/>
            <w:vAlign w:val="center"/>
          </w:tcPr>
          <w:p w14:paraId="0E83E120"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Q3 2027</w:t>
            </w:r>
          </w:p>
        </w:tc>
        <w:tc>
          <w:tcPr>
            <w:tcW w:w="1299" w:type="dxa"/>
            <w:vAlign w:val="center"/>
          </w:tcPr>
          <w:p w14:paraId="7460374D"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Q3 2027</w:t>
            </w:r>
          </w:p>
        </w:tc>
        <w:tc>
          <w:tcPr>
            <w:tcW w:w="1501" w:type="dxa"/>
            <w:vAlign w:val="center"/>
          </w:tcPr>
          <w:p w14:paraId="2A368B65" w14:textId="7343B22F" w:rsidR="00F418D6" w:rsidRPr="00F418D6" w:rsidRDefault="00F418D6">
            <w:pPr>
              <w:spacing w:line="216" w:lineRule="auto"/>
              <w:rPr>
                <w:rFonts w:ascii="Times New Roman" w:eastAsia="Arial" w:hAnsi="Times New Roman" w:cs="Times New Roman"/>
                <w:sz w:val="16"/>
                <w:szCs w:val="16"/>
              </w:rPr>
            </w:pPr>
            <w:r>
              <w:rPr>
                <w:rFonts w:ascii="Times New Roman" w:eastAsia="Arial" w:hAnsi="Times New Roman" w:cs="Times New Roman"/>
                <w:sz w:val="16"/>
                <w:szCs w:val="16"/>
              </w:rPr>
              <w:t>0</w:t>
            </w:r>
          </w:p>
        </w:tc>
        <w:tc>
          <w:tcPr>
            <w:tcW w:w="1699" w:type="dxa"/>
            <w:vAlign w:val="center"/>
          </w:tcPr>
          <w:p w14:paraId="098E764A"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ИПА III</w:t>
            </w:r>
            <w:r>
              <w:rPr>
                <w:rFonts w:ascii="Times New Roman" w:hAnsi="Times New Roman" w:cs="Times New Roman"/>
                <w:sz w:val="16"/>
                <w:szCs w:val="16"/>
              </w:rPr>
              <w:br/>
            </w:r>
            <w:r>
              <w:rPr>
                <w:rFonts w:ascii="Times New Roman" w:eastAsia="Arial" w:hAnsi="Times New Roman" w:cs="Times New Roman"/>
                <w:sz w:val="16"/>
                <w:szCs w:val="16"/>
              </w:rPr>
              <w:t>Донатори</w:t>
            </w:r>
            <w:r>
              <w:rPr>
                <w:rFonts w:ascii="Times New Roman" w:hAnsi="Times New Roman" w:cs="Times New Roman"/>
                <w:sz w:val="16"/>
                <w:szCs w:val="16"/>
              </w:rPr>
              <w:br/>
            </w:r>
            <w:r>
              <w:rPr>
                <w:rFonts w:ascii="Times New Roman" w:eastAsia="Arial" w:hAnsi="Times New Roman" w:cs="Times New Roman"/>
                <w:sz w:val="16"/>
                <w:szCs w:val="16"/>
              </w:rPr>
              <w:t>Буџет на РСМ</w:t>
            </w:r>
          </w:p>
        </w:tc>
        <w:tc>
          <w:tcPr>
            <w:tcW w:w="3346" w:type="dxa"/>
            <w:vMerge w:val="restart"/>
            <w:tcMar>
              <w:top w:w="35" w:type="dxa"/>
              <w:left w:w="45" w:type="dxa"/>
              <w:bottom w:w="35" w:type="dxa"/>
              <w:right w:w="45" w:type="dxa"/>
            </w:tcMar>
            <w:vAlign w:val="center"/>
          </w:tcPr>
          <w:p w14:paraId="395CAB22"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Показател на резултат: ВИ фонд, акцелераторски кохорти и поддржани стартапи.</w:t>
            </w:r>
          </w:p>
          <w:p w14:paraId="331DFE4F"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Почетна вредност (2027)</w:t>
            </w:r>
            <w:r>
              <w:rPr>
                <w:rFonts w:ascii="Times New Roman" w:eastAsia="Arial" w:hAnsi="Times New Roman" w:cs="Times New Roman"/>
                <w:sz w:val="16"/>
                <w:szCs w:val="16"/>
              </w:rPr>
              <w:t>: Нема наменски фонд, кохорти или поддржани стартапи.</w:t>
            </w:r>
          </w:p>
          <w:p w14:paraId="20B1F711"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 xml:space="preserve">Преодна вредност (2028): Основан фонд, 2 кохорти и најмалку 8 стартапи. </w:t>
            </w:r>
          </w:p>
          <w:p w14:paraId="665FFCE6" w14:textId="77777777" w:rsidR="00FE200F" w:rsidRDefault="00E77CAF">
            <w:pPr>
              <w:spacing w:line="216" w:lineRule="auto"/>
              <w:rPr>
                <w:rFonts w:ascii="Times New Roman" w:hAnsi="Times New Roman" w:cs="Times New Roman"/>
                <w:sz w:val="16"/>
                <w:szCs w:val="16"/>
                <w:lang w:val="mk-MK"/>
              </w:rPr>
            </w:pPr>
            <w:r>
              <w:rPr>
                <w:rFonts w:ascii="Times New Roman" w:eastAsia="Arial" w:hAnsi="Times New Roman" w:cs="Times New Roman"/>
                <w:sz w:val="16"/>
                <w:szCs w:val="16"/>
              </w:rPr>
              <w:t>Крајна вредност (2029): Основан фонд, 4 кохорти и најмалку 15 стартапи.</w:t>
            </w:r>
          </w:p>
        </w:tc>
      </w:tr>
      <w:tr w:rsidR="00FE200F" w14:paraId="411A0C84" w14:textId="77777777">
        <w:trPr>
          <w:cantSplit/>
          <w:jc w:val="center"/>
        </w:trPr>
        <w:tc>
          <w:tcPr>
            <w:tcW w:w="1900" w:type="dxa"/>
            <w:vMerge/>
            <w:tcMar>
              <w:top w:w="50" w:type="dxa"/>
              <w:left w:w="55" w:type="dxa"/>
              <w:bottom w:w="50" w:type="dxa"/>
              <w:right w:w="55" w:type="dxa"/>
            </w:tcMar>
          </w:tcPr>
          <w:p w14:paraId="45170DB7" w14:textId="77777777" w:rsidR="00FE200F" w:rsidRDefault="00FE200F">
            <w:pPr>
              <w:rPr>
                <w:rFonts w:ascii="Times New Roman" w:hAnsi="Times New Roman" w:cs="Times New Roman"/>
                <w:sz w:val="16"/>
                <w:szCs w:val="16"/>
              </w:rPr>
            </w:pPr>
          </w:p>
        </w:tc>
        <w:tc>
          <w:tcPr>
            <w:tcW w:w="3202" w:type="dxa"/>
            <w:vAlign w:val="center"/>
          </w:tcPr>
          <w:p w14:paraId="2075FEF2"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А2.2.1.2. Лансирање на акцелераторска програма за ВИ ст</w:t>
            </w:r>
            <w:r>
              <w:rPr>
                <w:rFonts w:ascii="Times New Roman" w:eastAsia="Arial" w:hAnsi="Times New Roman" w:cs="Times New Roman"/>
                <w:sz w:val="16"/>
                <w:szCs w:val="16"/>
              </w:rPr>
              <w:t>артапи (2 кохорти годишно)</w:t>
            </w:r>
          </w:p>
        </w:tc>
        <w:tc>
          <w:tcPr>
            <w:tcW w:w="1899" w:type="dxa"/>
            <w:tcMar>
              <w:top w:w="50" w:type="dxa"/>
              <w:left w:w="55" w:type="dxa"/>
              <w:bottom w:w="50" w:type="dxa"/>
              <w:right w:w="55" w:type="dxa"/>
            </w:tcMar>
          </w:tcPr>
          <w:p w14:paraId="69C25F1B"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ИНОВА</w:t>
            </w:r>
            <w:r>
              <w:rPr>
                <w:rFonts w:ascii="Times New Roman" w:hAnsi="Times New Roman" w:cs="Times New Roman"/>
                <w:sz w:val="16"/>
                <w:szCs w:val="16"/>
              </w:rPr>
              <w:br/>
            </w:r>
            <w:r>
              <w:rPr>
                <w:rFonts w:ascii="Times New Roman" w:eastAsia="Arial" w:hAnsi="Times New Roman" w:cs="Times New Roman"/>
                <w:sz w:val="16"/>
                <w:szCs w:val="16"/>
              </w:rPr>
              <w:t>МЕТ</w:t>
            </w:r>
          </w:p>
        </w:tc>
        <w:tc>
          <w:tcPr>
            <w:tcW w:w="1152" w:type="dxa"/>
            <w:tcMar>
              <w:top w:w="50" w:type="dxa"/>
              <w:left w:w="55" w:type="dxa"/>
              <w:bottom w:w="50" w:type="dxa"/>
              <w:right w:w="55" w:type="dxa"/>
            </w:tcMar>
          </w:tcPr>
          <w:p w14:paraId="60C77CCD"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Q3 2027</w:t>
            </w:r>
          </w:p>
        </w:tc>
        <w:tc>
          <w:tcPr>
            <w:tcW w:w="1299" w:type="dxa"/>
            <w:tcMar>
              <w:top w:w="50" w:type="dxa"/>
              <w:left w:w="55" w:type="dxa"/>
              <w:bottom w:w="50" w:type="dxa"/>
              <w:right w:w="55" w:type="dxa"/>
            </w:tcMar>
          </w:tcPr>
          <w:p w14:paraId="600BB730" w14:textId="4D757262"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w:t>
            </w:r>
            <w:r w:rsidR="00F418D6">
              <w:rPr>
                <w:rFonts w:ascii="Times New Roman" w:eastAsia="Arial" w:hAnsi="Times New Roman" w:cs="Times New Roman"/>
                <w:sz w:val="16"/>
                <w:szCs w:val="16"/>
              </w:rPr>
              <w:t>4</w:t>
            </w:r>
            <w:r>
              <w:rPr>
                <w:rFonts w:ascii="Times New Roman" w:eastAsia="Arial" w:hAnsi="Times New Roman" w:cs="Times New Roman"/>
                <w:sz w:val="16"/>
                <w:szCs w:val="16"/>
              </w:rPr>
              <w:t xml:space="preserve"> 202</w:t>
            </w:r>
            <w:r w:rsidR="00F418D6">
              <w:rPr>
                <w:rFonts w:ascii="Times New Roman" w:eastAsia="Arial" w:hAnsi="Times New Roman" w:cs="Times New Roman"/>
                <w:sz w:val="16"/>
                <w:szCs w:val="16"/>
              </w:rPr>
              <w:t>9</w:t>
            </w:r>
          </w:p>
        </w:tc>
        <w:tc>
          <w:tcPr>
            <w:tcW w:w="1501" w:type="dxa"/>
            <w:tcMar>
              <w:top w:w="50" w:type="dxa"/>
              <w:left w:w="55" w:type="dxa"/>
              <w:bottom w:w="50" w:type="dxa"/>
              <w:right w:w="55" w:type="dxa"/>
            </w:tcMar>
          </w:tcPr>
          <w:p w14:paraId="3C7F89CC" w14:textId="05FB3BC1" w:rsidR="00FE200F" w:rsidRDefault="00F418D6">
            <w:pPr>
              <w:spacing w:line="216" w:lineRule="auto"/>
              <w:rPr>
                <w:rFonts w:ascii="Times New Roman" w:hAnsi="Times New Roman" w:cs="Times New Roman"/>
                <w:sz w:val="16"/>
                <w:szCs w:val="16"/>
              </w:rPr>
            </w:pPr>
            <w:r>
              <w:rPr>
                <w:rFonts w:ascii="Times New Roman" w:eastAsia="Arial" w:hAnsi="Times New Roman" w:cs="Times New Roman"/>
                <w:sz w:val="16"/>
                <w:szCs w:val="16"/>
              </w:rPr>
              <w:t>20.000.000</w:t>
            </w:r>
          </w:p>
        </w:tc>
        <w:tc>
          <w:tcPr>
            <w:tcW w:w="1699" w:type="dxa"/>
            <w:tcMar>
              <w:top w:w="50" w:type="dxa"/>
              <w:left w:w="55" w:type="dxa"/>
              <w:bottom w:w="50" w:type="dxa"/>
              <w:right w:w="55" w:type="dxa"/>
            </w:tcMar>
          </w:tcPr>
          <w:p w14:paraId="03D63D64"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ИПА III</w:t>
            </w:r>
            <w:r>
              <w:rPr>
                <w:rFonts w:ascii="Times New Roman" w:hAnsi="Times New Roman" w:cs="Times New Roman"/>
                <w:sz w:val="16"/>
                <w:szCs w:val="16"/>
              </w:rPr>
              <w:br/>
            </w:r>
            <w:r>
              <w:rPr>
                <w:rFonts w:ascii="Times New Roman" w:eastAsia="Arial" w:hAnsi="Times New Roman" w:cs="Times New Roman"/>
                <w:sz w:val="16"/>
                <w:szCs w:val="16"/>
              </w:rPr>
              <w:t>Донатори</w:t>
            </w:r>
            <w:r>
              <w:rPr>
                <w:rFonts w:ascii="Times New Roman" w:hAnsi="Times New Roman" w:cs="Times New Roman"/>
                <w:sz w:val="16"/>
                <w:szCs w:val="16"/>
              </w:rPr>
              <w:br/>
            </w:r>
            <w:r>
              <w:rPr>
                <w:rFonts w:ascii="Times New Roman" w:eastAsia="Arial" w:hAnsi="Times New Roman" w:cs="Times New Roman"/>
                <w:sz w:val="16"/>
                <w:szCs w:val="16"/>
              </w:rPr>
              <w:t>Буџет на РСМ</w:t>
            </w:r>
          </w:p>
        </w:tc>
        <w:tc>
          <w:tcPr>
            <w:tcW w:w="3346" w:type="dxa"/>
            <w:vMerge/>
            <w:tcMar>
              <w:top w:w="50" w:type="dxa"/>
              <w:left w:w="55" w:type="dxa"/>
              <w:bottom w:w="50" w:type="dxa"/>
              <w:right w:w="55" w:type="dxa"/>
            </w:tcMar>
          </w:tcPr>
          <w:p w14:paraId="4CFDD67B" w14:textId="77777777" w:rsidR="00FE200F" w:rsidRDefault="00FE200F">
            <w:pPr>
              <w:rPr>
                <w:rFonts w:ascii="Times New Roman" w:hAnsi="Times New Roman" w:cs="Times New Roman"/>
                <w:sz w:val="16"/>
                <w:szCs w:val="16"/>
              </w:rPr>
            </w:pPr>
          </w:p>
        </w:tc>
      </w:tr>
      <w:tr w:rsidR="00FE200F" w14:paraId="22A4FA24" w14:textId="77777777">
        <w:trPr>
          <w:cantSplit/>
          <w:jc w:val="center"/>
        </w:trPr>
        <w:tc>
          <w:tcPr>
            <w:tcW w:w="1900" w:type="dxa"/>
            <w:vMerge/>
            <w:tcMar>
              <w:top w:w="50" w:type="dxa"/>
              <w:left w:w="55" w:type="dxa"/>
              <w:bottom w:w="50" w:type="dxa"/>
              <w:right w:w="55" w:type="dxa"/>
            </w:tcMar>
          </w:tcPr>
          <w:p w14:paraId="1F5F0A02" w14:textId="77777777" w:rsidR="00FE200F" w:rsidRDefault="00FE200F">
            <w:pPr>
              <w:rPr>
                <w:rFonts w:ascii="Times New Roman" w:hAnsi="Times New Roman" w:cs="Times New Roman"/>
                <w:sz w:val="16"/>
                <w:szCs w:val="16"/>
              </w:rPr>
            </w:pPr>
          </w:p>
        </w:tc>
        <w:tc>
          <w:tcPr>
            <w:tcW w:w="3202" w:type="dxa"/>
            <w:vAlign w:val="center"/>
          </w:tcPr>
          <w:p w14:paraId="1C0FB157"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А2.2.1.3. Поддршка за учество на меѓународни саеми и конференции</w:t>
            </w:r>
          </w:p>
        </w:tc>
        <w:tc>
          <w:tcPr>
            <w:tcW w:w="1899" w:type="dxa"/>
            <w:tcMar>
              <w:top w:w="50" w:type="dxa"/>
              <w:left w:w="55" w:type="dxa"/>
              <w:bottom w:w="50" w:type="dxa"/>
              <w:right w:w="55" w:type="dxa"/>
            </w:tcMar>
          </w:tcPr>
          <w:p w14:paraId="21131C71"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ИНОВА</w:t>
            </w:r>
            <w:r>
              <w:rPr>
                <w:rFonts w:ascii="Times New Roman" w:hAnsi="Times New Roman" w:cs="Times New Roman"/>
                <w:sz w:val="16"/>
                <w:szCs w:val="16"/>
              </w:rPr>
              <w:br/>
            </w:r>
            <w:r>
              <w:rPr>
                <w:rFonts w:ascii="Times New Roman" w:eastAsia="Arial" w:hAnsi="Times New Roman" w:cs="Times New Roman"/>
                <w:sz w:val="16"/>
                <w:szCs w:val="16"/>
              </w:rPr>
              <w:t>МЕТ</w:t>
            </w:r>
          </w:p>
        </w:tc>
        <w:tc>
          <w:tcPr>
            <w:tcW w:w="1152" w:type="dxa"/>
            <w:tcMar>
              <w:top w:w="50" w:type="dxa"/>
              <w:left w:w="55" w:type="dxa"/>
              <w:bottom w:w="50" w:type="dxa"/>
              <w:right w:w="55" w:type="dxa"/>
            </w:tcMar>
          </w:tcPr>
          <w:p w14:paraId="7536D99D"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Q3 2027</w:t>
            </w:r>
          </w:p>
        </w:tc>
        <w:tc>
          <w:tcPr>
            <w:tcW w:w="1299" w:type="dxa"/>
            <w:tcMar>
              <w:top w:w="50" w:type="dxa"/>
              <w:left w:w="55" w:type="dxa"/>
              <w:bottom w:w="50" w:type="dxa"/>
              <w:right w:w="55" w:type="dxa"/>
            </w:tcMar>
          </w:tcPr>
          <w:p w14:paraId="54474F93" w14:textId="20FA0F06"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Q3 202</w:t>
            </w:r>
            <w:r w:rsidR="00F418D6">
              <w:rPr>
                <w:rFonts w:ascii="Times New Roman" w:eastAsia="Arial" w:hAnsi="Times New Roman" w:cs="Times New Roman"/>
                <w:sz w:val="16"/>
                <w:szCs w:val="16"/>
              </w:rPr>
              <w:t>9</w:t>
            </w:r>
          </w:p>
        </w:tc>
        <w:tc>
          <w:tcPr>
            <w:tcW w:w="1501" w:type="dxa"/>
            <w:tcMar>
              <w:top w:w="50" w:type="dxa"/>
              <w:left w:w="55" w:type="dxa"/>
              <w:bottom w:w="50" w:type="dxa"/>
              <w:right w:w="55" w:type="dxa"/>
            </w:tcMar>
          </w:tcPr>
          <w:p w14:paraId="4EC497B0" w14:textId="55DB08FD" w:rsidR="00FE200F" w:rsidRDefault="00F418D6">
            <w:pPr>
              <w:spacing w:line="216" w:lineRule="auto"/>
              <w:rPr>
                <w:rFonts w:ascii="Times New Roman" w:hAnsi="Times New Roman" w:cs="Times New Roman"/>
                <w:sz w:val="16"/>
                <w:szCs w:val="16"/>
              </w:rPr>
            </w:pPr>
            <w:r>
              <w:rPr>
                <w:rFonts w:ascii="Times New Roman" w:eastAsia="Arial" w:hAnsi="Times New Roman" w:cs="Times New Roman"/>
                <w:sz w:val="16"/>
                <w:szCs w:val="16"/>
              </w:rPr>
              <w:t>20.000.000</w:t>
            </w:r>
          </w:p>
        </w:tc>
        <w:tc>
          <w:tcPr>
            <w:tcW w:w="1699" w:type="dxa"/>
            <w:tcMar>
              <w:top w:w="50" w:type="dxa"/>
              <w:left w:w="55" w:type="dxa"/>
              <w:bottom w:w="50" w:type="dxa"/>
              <w:right w:w="55" w:type="dxa"/>
            </w:tcMar>
          </w:tcPr>
          <w:p w14:paraId="66FC1A3F"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ИПА III</w:t>
            </w:r>
            <w:r>
              <w:rPr>
                <w:rFonts w:ascii="Times New Roman" w:hAnsi="Times New Roman" w:cs="Times New Roman"/>
                <w:sz w:val="16"/>
                <w:szCs w:val="16"/>
              </w:rPr>
              <w:br/>
            </w:r>
            <w:r>
              <w:rPr>
                <w:rFonts w:ascii="Times New Roman" w:eastAsia="Arial" w:hAnsi="Times New Roman" w:cs="Times New Roman"/>
                <w:sz w:val="16"/>
                <w:szCs w:val="16"/>
              </w:rPr>
              <w:t>Донатори</w:t>
            </w:r>
            <w:r>
              <w:rPr>
                <w:rFonts w:ascii="Times New Roman" w:hAnsi="Times New Roman" w:cs="Times New Roman"/>
                <w:sz w:val="16"/>
                <w:szCs w:val="16"/>
              </w:rPr>
              <w:br/>
            </w:r>
            <w:r>
              <w:rPr>
                <w:rFonts w:ascii="Times New Roman" w:eastAsia="Arial" w:hAnsi="Times New Roman" w:cs="Times New Roman"/>
                <w:sz w:val="16"/>
                <w:szCs w:val="16"/>
              </w:rPr>
              <w:t>Буџет на РСМ</w:t>
            </w:r>
          </w:p>
        </w:tc>
        <w:tc>
          <w:tcPr>
            <w:tcW w:w="3346" w:type="dxa"/>
            <w:vMerge/>
            <w:tcMar>
              <w:top w:w="50" w:type="dxa"/>
              <w:left w:w="55" w:type="dxa"/>
              <w:bottom w:w="50" w:type="dxa"/>
              <w:right w:w="55" w:type="dxa"/>
            </w:tcMar>
          </w:tcPr>
          <w:p w14:paraId="7087BE85" w14:textId="77777777" w:rsidR="00FE200F" w:rsidRDefault="00FE200F">
            <w:pPr>
              <w:rPr>
                <w:rFonts w:ascii="Times New Roman" w:hAnsi="Times New Roman" w:cs="Times New Roman"/>
                <w:sz w:val="16"/>
                <w:szCs w:val="16"/>
              </w:rPr>
            </w:pPr>
          </w:p>
        </w:tc>
      </w:tr>
      <w:tr w:rsidR="00FE200F" w14:paraId="1F686968" w14:textId="77777777">
        <w:trPr>
          <w:cantSplit/>
          <w:jc w:val="center"/>
        </w:trPr>
        <w:tc>
          <w:tcPr>
            <w:tcW w:w="8153" w:type="dxa"/>
            <w:gridSpan w:val="4"/>
            <w:shd w:val="clear" w:color="auto" w:fill="E7E6E6"/>
            <w:vAlign w:val="center"/>
          </w:tcPr>
          <w:p w14:paraId="2E1CFA4A"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b/>
                <w:sz w:val="16"/>
                <w:szCs w:val="16"/>
              </w:rPr>
              <w:t xml:space="preserve">Посебна цел 2.3. ВИ </w:t>
            </w:r>
            <w:r>
              <w:rPr>
                <w:rFonts w:ascii="Times New Roman" w:eastAsia="Arial" w:hAnsi="Times New Roman" w:cs="Times New Roman"/>
                <w:b/>
                <w:sz w:val="16"/>
                <w:szCs w:val="16"/>
              </w:rPr>
              <w:t>инвестиции и секторска примена</w:t>
            </w:r>
          </w:p>
        </w:tc>
        <w:tc>
          <w:tcPr>
            <w:tcW w:w="7845" w:type="dxa"/>
            <w:gridSpan w:val="4"/>
            <w:shd w:val="clear" w:color="auto" w:fill="F2F2F2"/>
            <w:vAlign w:val="center"/>
          </w:tcPr>
          <w:p w14:paraId="28BAC01A"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ПОКАЗАТЕЛ НА ИСХОД: Привлечени ВИ инвестиции и применети секторски ВИ решенија.Почетна вредност (2027): 0 инвестициски пакети, 0 anchor компании и 0 секторски пилоти.Преодна вредност (2028): 1 пакети, најмалку 1 anchor компан</w:t>
            </w:r>
            <w:r>
              <w:rPr>
                <w:rFonts w:ascii="Times New Roman" w:eastAsia="Arial" w:hAnsi="Times New Roman" w:cs="Times New Roman"/>
                <w:sz w:val="16"/>
                <w:szCs w:val="16"/>
              </w:rPr>
              <w:t>ии и 3 секторски пилоти. Крајна вредност (2029): 2 пакети, најмалку 2 anchor компании и 6 секторски пилоти.</w:t>
            </w:r>
          </w:p>
        </w:tc>
      </w:tr>
      <w:tr w:rsidR="00FE200F" w14:paraId="4C55F167" w14:textId="77777777">
        <w:trPr>
          <w:cantSplit/>
          <w:jc w:val="center"/>
        </w:trPr>
        <w:tc>
          <w:tcPr>
            <w:tcW w:w="1900" w:type="dxa"/>
            <w:vMerge w:val="restart"/>
            <w:vAlign w:val="center"/>
          </w:tcPr>
          <w:p w14:paraId="03A08AF5"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b/>
                <w:sz w:val="16"/>
                <w:szCs w:val="16"/>
              </w:rPr>
              <w:lastRenderedPageBreak/>
              <w:t>М2.3.1. Промотивна кампања и инвестициски пакети за ВИ</w:t>
            </w:r>
          </w:p>
        </w:tc>
        <w:tc>
          <w:tcPr>
            <w:tcW w:w="3202" w:type="dxa"/>
            <w:vAlign w:val="center"/>
          </w:tcPr>
          <w:p w14:paraId="40FF9A1E"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А2.3.1.1 Креирање на инвестициски пакети за ВИ компании</w:t>
            </w:r>
          </w:p>
        </w:tc>
        <w:tc>
          <w:tcPr>
            <w:tcW w:w="1899" w:type="dxa"/>
            <w:vAlign w:val="center"/>
          </w:tcPr>
          <w:p w14:paraId="28C844D2"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 xml:space="preserve">Invest North Macedonia – Агенција за странски инвестиции и промоција на извозот </w:t>
            </w:r>
            <w:r>
              <w:rPr>
                <w:rFonts w:ascii="Times New Roman" w:hAnsi="Times New Roman" w:cs="Times New Roman"/>
                <w:sz w:val="16"/>
                <w:szCs w:val="16"/>
              </w:rPr>
              <w:br/>
            </w:r>
            <w:r>
              <w:rPr>
                <w:rFonts w:ascii="Times New Roman" w:eastAsia="Arial" w:hAnsi="Times New Roman" w:cs="Times New Roman"/>
                <w:sz w:val="16"/>
                <w:szCs w:val="16"/>
              </w:rPr>
              <w:t>ИНОВА</w:t>
            </w:r>
            <w:r>
              <w:rPr>
                <w:rFonts w:ascii="Times New Roman" w:hAnsi="Times New Roman" w:cs="Times New Roman"/>
                <w:sz w:val="16"/>
                <w:szCs w:val="16"/>
              </w:rPr>
              <w:br/>
            </w:r>
            <w:r>
              <w:rPr>
                <w:rFonts w:ascii="Times New Roman" w:eastAsia="Arial" w:hAnsi="Times New Roman" w:cs="Times New Roman"/>
                <w:sz w:val="16"/>
                <w:szCs w:val="16"/>
              </w:rPr>
              <w:t>МЕТ, МДТ</w:t>
            </w:r>
          </w:p>
        </w:tc>
        <w:tc>
          <w:tcPr>
            <w:tcW w:w="1152" w:type="dxa"/>
            <w:vAlign w:val="center"/>
          </w:tcPr>
          <w:p w14:paraId="2604F08D"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Q2 2027</w:t>
            </w:r>
          </w:p>
        </w:tc>
        <w:tc>
          <w:tcPr>
            <w:tcW w:w="1299" w:type="dxa"/>
            <w:vAlign w:val="center"/>
          </w:tcPr>
          <w:p w14:paraId="268D16E8"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Q2 2027</w:t>
            </w:r>
          </w:p>
        </w:tc>
        <w:tc>
          <w:tcPr>
            <w:tcW w:w="1501" w:type="dxa"/>
            <w:vAlign w:val="center"/>
          </w:tcPr>
          <w:p w14:paraId="0DB49947" w14:textId="158C1C93" w:rsidR="00FE200F" w:rsidRDefault="00F418D6">
            <w:pPr>
              <w:spacing w:line="216" w:lineRule="auto"/>
              <w:rPr>
                <w:rFonts w:ascii="Times New Roman" w:hAnsi="Times New Roman" w:cs="Times New Roman"/>
                <w:sz w:val="16"/>
                <w:szCs w:val="16"/>
              </w:rPr>
            </w:pPr>
            <w:r>
              <w:rPr>
                <w:rFonts w:ascii="Times New Roman" w:eastAsia="Arial" w:hAnsi="Times New Roman" w:cs="Times New Roman"/>
                <w:sz w:val="16"/>
                <w:szCs w:val="16"/>
              </w:rPr>
              <w:t>0</w:t>
            </w:r>
          </w:p>
        </w:tc>
        <w:tc>
          <w:tcPr>
            <w:tcW w:w="1699" w:type="dxa"/>
            <w:vAlign w:val="center"/>
          </w:tcPr>
          <w:p w14:paraId="6468E7D9"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Буџет на РСМ</w:t>
            </w:r>
          </w:p>
        </w:tc>
        <w:tc>
          <w:tcPr>
            <w:tcW w:w="3346" w:type="dxa"/>
            <w:vMerge w:val="restart"/>
            <w:tcMar>
              <w:top w:w="35" w:type="dxa"/>
              <w:left w:w="45" w:type="dxa"/>
              <w:bottom w:w="35" w:type="dxa"/>
              <w:right w:w="45" w:type="dxa"/>
            </w:tcMar>
            <w:vAlign w:val="center"/>
          </w:tcPr>
          <w:p w14:paraId="27934C5F"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Показател на резултат: Инвестициски пакети и привлечени ВИ anchor компании.</w:t>
            </w:r>
          </w:p>
          <w:p w14:paraId="58E59880"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 xml:space="preserve">Почетна вредност (2027): 0 пакети, 0 форуми и 0 </w:t>
            </w:r>
            <w:r>
              <w:rPr>
                <w:rFonts w:ascii="Times New Roman" w:eastAsia="Arial" w:hAnsi="Times New Roman" w:cs="Times New Roman"/>
                <w:sz w:val="16"/>
                <w:szCs w:val="16"/>
              </w:rPr>
              <w:t>anchor компании.</w:t>
            </w:r>
          </w:p>
          <w:p w14:paraId="7B1844FB"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 xml:space="preserve">Преодна вредност (2028): 1 пакети, 2 форуми и најмалку 1 anchor компании. </w:t>
            </w:r>
          </w:p>
          <w:p w14:paraId="6D1B5342" w14:textId="77777777" w:rsidR="00FE200F" w:rsidRDefault="00E77CAF">
            <w:pPr>
              <w:spacing w:line="216" w:lineRule="auto"/>
              <w:rPr>
                <w:rFonts w:ascii="Times New Roman" w:hAnsi="Times New Roman" w:cs="Times New Roman"/>
                <w:sz w:val="16"/>
                <w:szCs w:val="16"/>
                <w:lang w:val="mk-MK"/>
              </w:rPr>
            </w:pPr>
            <w:r>
              <w:rPr>
                <w:rFonts w:ascii="Times New Roman" w:eastAsia="Arial" w:hAnsi="Times New Roman" w:cs="Times New Roman"/>
                <w:sz w:val="16"/>
                <w:szCs w:val="16"/>
              </w:rPr>
              <w:t>Крајна вредност (2029): 2 пакети, 5 форуми и најмалку 2 anchor компании.</w:t>
            </w:r>
          </w:p>
        </w:tc>
      </w:tr>
      <w:tr w:rsidR="00FE200F" w14:paraId="128D8C99" w14:textId="77777777">
        <w:trPr>
          <w:cantSplit/>
          <w:jc w:val="center"/>
        </w:trPr>
        <w:tc>
          <w:tcPr>
            <w:tcW w:w="1900" w:type="dxa"/>
            <w:vMerge/>
            <w:tcMar>
              <w:top w:w="50" w:type="dxa"/>
              <w:left w:w="55" w:type="dxa"/>
              <w:bottom w:w="50" w:type="dxa"/>
              <w:right w:w="55" w:type="dxa"/>
            </w:tcMar>
          </w:tcPr>
          <w:p w14:paraId="181AE1F3" w14:textId="77777777" w:rsidR="00FE200F" w:rsidRDefault="00FE200F">
            <w:pPr>
              <w:rPr>
                <w:rFonts w:ascii="Times New Roman" w:hAnsi="Times New Roman" w:cs="Times New Roman"/>
                <w:sz w:val="16"/>
                <w:szCs w:val="16"/>
              </w:rPr>
            </w:pPr>
          </w:p>
        </w:tc>
        <w:tc>
          <w:tcPr>
            <w:tcW w:w="3202" w:type="dxa"/>
            <w:vAlign w:val="center"/>
          </w:tcPr>
          <w:p w14:paraId="5A5ADF79"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А2.3.1.2. Учество на 5 глобални ВИ самити и инвестициски форуми</w:t>
            </w:r>
          </w:p>
        </w:tc>
        <w:tc>
          <w:tcPr>
            <w:tcW w:w="1899" w:type="dxa"/>
            <w:tcMar>
              <w:top w:w="50" w:type="dxa"/>
              <w:left w:w="55" w:type="dxa"/>
              <w:bottom w:w="50" w:type="dxa"/>
              <w:right w:w="55" w:type="dxa"/>
            </w:tcMar>
          </w:tcPr>
          <w:p w14:paraId="6B3C07A3"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 xml:space="preserve">Invest North Macedonia – Агенција за странски инвестиции и промоција на извозот </w:t>
            </w:r>
            <w:r>
              <w:rPr>
                <w:rFonts w:ascii="Times New Roman" w:hAnsi="Times New Roman" w:cs="Times New Roman"/>
                <w:sz w:val="16"/>
                <w:szCs w:val="16"/>
              </w:rPr>
              <w:br/>
            </w:r>
            <w:r>
              <w:rPr>
                <w:rFonts w:ascii="Times New Roman" w:eastAsia="Arial" w:hAnsi="Times New Roman" w:cs="Times New Roman"/>
                <w:sz w:val="16"/>
                <w:szCs w:val="16"/>
              </w:rPr>
              <w:t>ИНОВА</w:t>
            </w:r>
            <w:r>
              <w:rPr>
                <w:rFonts w:ascii="Times New Roman" w:hAnsi="Times New Roman" w:cs="Times New Roman"/>
                <w:sz w:val="16"/>
                <w:szCs w:val="16"/>
              </w:rPr>
              <w:br/>
            </w:r>
            <w:r>
              <w:rPr>
                <w:rFonts w:ascii="Times New Roman" w:eastAsia="Arial" w:hAnsi="Times New Roman" w:cs="Times New Roman"/>
                <w:sz w:val="16"/>
                <w:szCs w:val="16"/>
              </w:rPr>
              <w:t>МЕТ, МДТ</w:t>
            </w:r>
          </w:p>
        </w:tc>
        <w:tc>
          <w:tcPr>
            <w:tcW w:w="1152" w:type="dxa"/>
            <w:tcMar>
              <w:top w:w="50" w:type="dxa"/>
              <w:left w:w="55" w:type="dxa"/>
              <w:bottom w:w="50" w:type="dxa"/>
              <w:right w:w="55" w:type="dxa"/>
            </w:tcMar>
          </w:tcPr>
          <w:p w14:paraId="78FDDA85"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Q2 2027</w:t>
            </w:r>
          </w:p>
        </w:tc>
        <w:tc>
          <w:tcPr>
            <w:tcW w:w="1299" w:type="dxa"/>
            <w:tcMar>
              <w:top w:w="50" w:type="dxa"/>
              <w:left w:w="55" w:type="dxa"/>
              <w:bottom w:w="50" w:type="dxa"/>
              <w:right w:w="55" w:type="dxa"/>
            </w:tcMar>
          </w:tcPr>
          <w:p w14:paraId="3DB50625" w14:textId="43EEC148"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w:t>
            </w:r>
            <w:r w:rsidR="00F418D6">
              <w:rPr>
                <w:rFonts w:ascii="Times New Roman" w:eastAsia="Arial" w:hAnsi="Times New Roman" w:cs="Times New Roman"/>
                <w:sz w:val="16"/>
                <w:szCs w:val="16"/>
              </w:rPr>
              <w:t>4</w:t>
            </w:r>
            <w:r>
              <w:rPr>
                <w:rFonts w:ascii="Times New Roman" w:eastAsia="Arial" w:hAnsi="Times New Roman" w:cs="Times New Roman"/>
                <w:sz w:val="16"/>
                <w:szCs w:val="16"/>
              </w:rPr>
              <w:t xml:space="preserve"> 202</w:t>
            </w:r>
            <w:r w:rsidR="00F418D6">
              <w:rPr>
                <w:rFonts w:ascii="Times New Roman" w:eastAsia="Arial" w:hAnsi="Times New Roman" w:cs="Times New Roman"/>
                <w:sz w:val="16"/>
                <w:szCs w:val="16"/>
              </w:rPr>
              <w:t>9</w:t>
            </w:r>
          </w:p>
        </w:tc>
        <w:tc>
          <w:tcPr>
            <w:tcW w:w="1501" w:type="dxa"/>
            <w:tcMar>
              <w:top w:w="50" w:type="dxa"/>
              <w:left w:w="55" w:type="dxa"/>
              <w:bottom w:w="50" w:type="dxa"/>
              <w:right w:w="55" w:type="dxa"/>
            </w:tcMar>
          </w:tcPr>
          <w:p w14:paraId="64B98D95" w14:textId="12151A04" w:rsidR="00FE200F" w:rsidRDefault="00F418D6">
            <w:pPr>
              <w:spacing w:line="216" w:lineRule="auto"/>
              <w:rPr>
                <w:rFonts w:ascii="Times New Roman" w:hAnsi="Times New Roman" w:cs="Times New Roman"/>
                <w:sz w:val="16"/>
                <w:szCs w:val="16"/>
              </w:rPr>
            </w:pPr>
            <w:r>
              <w:rPr>
                <w:rFonts w:ascii="Times New Roman" w:eastAsia="Arial" w:hAnsi="Times New Roman" w:cs="Times New Roman"/>
                <w:sz w:val="16"/>
                <w:szCs w:val="16"/>
              </w:rPr>
              <w:t>5.000.000</w:t>
            </w:r>
          </w:p>
        </w:tc>
        <w:tc>
          <w:tcPr>
            <w:tcW w:w="1699" w:type="dxa"/>
            <w:tcMar>
              <w:top w:w="50" w:type="dxa"/>
              <w:left w:w="55" w:type="dxa"/>
              <w:bottom w:w="50" w:type="dxa"/>
              <w:right w:w="55" w:type="dxa"/>
            </w:tcMar>
          </w:tcPr>
          <w:p w14:paraId="3D798CA8"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Буџет на РСМ</w:t>
            </w:r>
          </w:p>
        </w:tc>
        <w:tc>
          <w:tcPr>
            <w:tcW w:w="3346" w:type="dxa"/>
            <w:vMerge/>
            <w:tcMar>
              <w:top w:w="50" w:type="dxa"/>
              <w:left w:w="55" w:type="dxa"/>
              <w:bottom w:w="50" w:type="dxa"/>
              <w:right w:w="55" w:type="dxa"/>
            </w:tcMar>
          </w:tcPr>
          <w:p w14:paraId="7B15E8B6" w14:textId="77777777" w:rsidR="00FE200F" w:rsidRDefault="00FE200F">
            <w:pPr>
              <w:rPr>
                <w:rFonts w:ascii="Times New Roman" w:hAnsi="Times New Roman" w:cs="Times New Roman"/>
                <w:sz w:val="16"/>
                <w:szCs w:val="16"/>
              </w:rPr>
            </w:pPr>
          </w:p>
        </w:tc>
      </w:tr>
      <w:tr w:rsidR="00FE200F" w14:paraId="2E0423C8" w14:textId="77777777">
        <w:trPr>
          <w:cantSplit/>
          <w:jc w:val="center"/>
        </w:trPr>
        <w:tc>
          <w:tcPr>
            <w:tcW w:w="1900" w:type="dxa"/>
            <w:vMerge/>
            <w:tcMar>
              <w:top w:w="50" w:type="dxa"/>
              <w:left w:w="55" w:type="dxa"/>
              <w:bottom w:w="50" w:type="dxa"/>
              <w:right w:w="55" w:type="dxa"/>
            </w:tcMar>
          </w:tcPr>
          <w:p w14:paraId="5B57946F" w14:textId="77777777" w:rsidR="00FE200F" w:rsidRDefault="00FE200F">
            <w:pPr>
              <w:rPr>
                <w:rFonts w:ascii="Times New Roman" w:hAnsi="Times New Roman" w:cs="Times New Roman"/>
                <w:sz w:val="16"/>
                <w:szCs w:val="16"/>
              </w:rPr>
            </w:pPr>
          </w:p>
        </w:tc>
        <w:tc>
          <w:tcPr>
            <w:tcW w:w="3202" w:type="dxa"/>
            <w:vAlign w:val="center"/>
          </w:tcPr>
          <w:p w14:paraId="49E651C5"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А2.3.1.3. Привлекување на минимум 2 „anchor“ компании</w:t>
            </w:r>
          </w:p>
        </w:tc>
        <w:tc>
          <w:tcPr>
            <w:tcW w:w="1899" w:type="dxa"/>
            <w:tcMar>
              <w:top w:w="50" w:type="dxa"/>
              <w:left w:w="55" w:type="dxa"/>
              <w:bottom w:w="50" w:type="dxa"/>
              <w:right w:w="55" w:type="dxa"/>
            </w:tcMar>
          </w:tcPr>
          <w:p w14:paraId="23DBDE8A"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 xml:space="preserve">Invest North Macedonia –Агенција за странски инвестиции и </w:t>
            </w:r>
            <w:r>
              <w:rPr>
                <w:rFonts w:ascii="Times New Roman" w:eastAsia="Arial" w:hAnsi="Times New Roman" w:cs="Times New Roman"/>
                <w:sz w:val="16"/>
                <w:szCs w:val="16"/>
              </w:rPr>
              <w:t>промоција на извозот</w:t>
            </w:r>
            <w:r>
              <w:rPr>
                <w:rFonts w:ascii="Times New Roman" w:hAnsi="Times New Roman" w:cs="Times New Roman"/>
                <w:sz w:val="16"/>
                <w:szCs w:val="16"/>
              </w:rPr>
              <w:br/>
            </w:r>
            <w:r>
              <w:rPr>
                <w:rFonts w:ascii="Times New Roman" w:eastAsia="Arial" w:hAnsi="Times New Roman" w:cs="Times New Roman"/>
                <w:sz w:val="16"/>
                <w:szCs w:val="16"/>
              </w:rPr>
              <w:t>ИНОВА</w:t>
            </w:r>
            <w:r>
              <w:rPr>
                <w:rFonts w:ascii="Times New Roman" w:hAnsi="Times New Roman" w:cs="Times New Roman"/>
                <w:sz w:val="16"/>
                <w:szCs w:val="16"/>
              </w:rPr>
              <w:br/>
            </w:r>
            <w:r>
              <w:rPr>
                <w:rFonts w:ascii="Times New Roman" w:eastAsia="Arial" w:hAnsi="Times New Roman" w:cs="Times New Roman"/>
                <w:sz w:val="16"/>
                <w:szCs w:val="16"/>
              </w:rPr>
              <w:t>МЕТ, МДТ</w:t>
            </w:r>
          </w:p>
        </w:tc>
        <w:tc>
          <w:tcPr>
            <w:tcW w:w="1152" w:type="dxa"/>
            <w:tcMar>
              <w:top w:w="50" w:type="dxa"/>
              <w:left w:w="55" w:type="dxa"/>
              <w:bottom w:w="50" w:type="dxa"/>
              <w:right w:w="55" w:type="dxa"/>
            </w:tcMar>
          </w:tcPr>
          <w:p w14:paraId="44F52428"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Q2 2027</w:t>
            </w:r>
          </w:p>
        </w:tc>
        <w:tc>
          <w:tcPr>
            <w:tcW w:w="1299" w:type="dxa"/>
            <w:tcMar>
              <w:top w:w="50" w:type="dxa"/>
              <w:left w:w="55" w:type="dxa"/>
              <w:bottom w:w="50" w:type="dxa"/>
              <w:right w:w="55" w:type="dxa"/>
            </w:tcMar>
          </w:tcPr>
          <w:p w14:paraId="0B78EC13"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Q2 2027</w:t>
            </w:r>
          </w:p>
        </w:tc>
        <w:tc>
          <w:tcPr>
            <w:tcW w:w="1501" w:type="dxa"/>
            <w:tcMar>
              <w:top w:w="50" w:type="dxa"/>
              <w:left w:w="55" w:type="dxa"/>
              <w:bottom w:w="50" w:type="dxa"/>
              <w:right w:w="55" w:type="dxa"/>
            </w:tcMar>
          </w:tcPr>
          <w:p w14:paraId="39054AB4" w14:textId="794BBC50" w:rsidR="00FE200F" w:rsidRDefault="00F418D6">
            <w:pPr>
              <w:spacing w:line="216" w:lineRule="auto"/>
              <w:rPr>
                <w:rFonts w:ascii="Times New Roman" w:hAnsi="Times New Roman" w:cs="Times New Roman"/>
                <w:sz w:val="16"/>
                <w:szCs w:val="16"/>
              </w:rPr>
            </w:pPr>
            <w:r>
              <w:rPr>
                <w:rFonts w:ascii="Times New Roman" w:eastAsia="Arial" w:hAnsi="Times New Roman" w:cs="Times New Roman"/>
                <w:sz w:val="16"/>
                <w:szCs w:val="16"/>
              </w:rPr>
              <w:t>5.000.000</w:t>
            </w:r>
          </w:p>
        </w:tc>
        <w:tc>
          <w:tcPr>
            <w:tcW w:w="1699" w:type="dxa"/>
            <w:tcMar>
              <w:top w:w="50" w:type="dxa"/>
              <w:left w:w="55" w:type="dxa"/>
              <w:bottom w:w="50" w:type="dxa"/>
              <w:right w:w="55" w:type="dxa"/>
            </w:tcMar>
          </w:tcPr>
          <w:p w14:paraId="1B0F9EE7"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Буџет на РСМ</w:t>
            </w:r>
          </w:p>
        </w:tc>
        <w:tc>
          <w:tcPr>
            <w:tcW w:w="3346" w:type="dxa"/>
            <w:vMerge/>
            <w:tcMar>
              <w:top w:w="50" w:type="dxa"/>
              <w:left w:w="55" w:type="dxa"/>
              <w:bottom w:w="50" w:type="dxa"/>
              <w:right w:w="55" w:type="dxa"/>
            </w:tcMar>
          </w:tcPr>
          <w:p w14:paraId="414FD0A5" w14:textId="77777777" w:rsidR="00FE200F" w:rsidRDefault="00FE200F">
            <w:pPr>
              <w:rPr>
                <w:rFonts w:ascii="Times New Roman" w:hAnsi="Times New Roman" w:cs="Times New Roman"/>
                <w:sz w:val="16"/>
                <w:szCs w:val="16"/>
              </w:rPr>
            </w:pPr>
          </w:p>
        </w:tc>
      </w:tr>
      <w:tr w:rsidR="00FE200F" w14:paraId="049FD748" w14:textId="77777777">
        <w:trPr>
          <w:cantSplit/>
          <w:jc w:val="center"/>
        </w:trPr>
        <w:tc>
          <w:tcPr>
            <w:tcW w:w="1900" w:type="dxa"/>
            <w:vMerge w:val="restart"/>
            <w:vAlign w:val="center"/>
          </w:tcPr>
          <w:p w14:paraId="6FDD8153"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b/>
                <w:sz w:val="16"/>
                <w:szCs w:val="16"/>
              </w:rPr>
              <w:t>М2.3.2 Грантови за секторски ВИ иновации („Зелена ВИ")</w:t>
            </w:r>
          </w:p>
        </w:tc>
        <w:tc>
          <w:tcPr>
            <w:tcW w:w="3202" w:type="dxa"/>
            <w:vAlign w:val="center"/>
          </w:tcPr>
          <w:p w14:paraId="1FB74CE8"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А2.3.2.1. Повик за „Зелена ВИ" проекти во енергетика и земјоделство</w:t>
            </w:r>
          </w:p>
        </w:tc>
        <w:tc>
          <w:tcPr>
            <w:tcW w:w="1899" w:type="dxa"/>
            <w:vAlign w:val="center"/>
          </w:tcPr>
          <w:p w14:paraId="560E2E95"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ИНОВА</w:t>
            </w:r>
            <w:r>
              <w:rPr>
                <w:rFonts w:ascii="Times New Roman" w:hAnsi="Times New Roman" w:cs="Times New Roman"/>
                <w:sz w:val="16"/>
                <w:szCs w:val="16"/>
              </w:rPr>
              <w:br/>
            </w:r>
            <w:r>
              <w:rPr>
                <w:rFonts w:ascii="Times New Roman" w:eastAsia="Arial" w:hAnsi="Times New Roman" w:cs="Times New Roman"/>
                <w:sz w:val="16"/>
                <w:szCs w:val="16"/>
              </w:rPr>
              <w:t>МЗШВ</w:t>
            </w:r>
            <w:r>
              <w:rPr>
                <w:rFonts w:ascii="Times New Roman" w:hAnsi="Times New Roman" w:cs="Times New Roman"/>
                <w:sz w:val="16"/>
                <w:szCs w:val="16"/>
              </w:rPr>
              <w:br/>
            </w:r>
            <w:r>
              <w:rPr>
                <w:rFonts w:ascii="Times New Roman" w:eastAsia="Arial" w:hAnsi="Times New Roman" w:cs="Times New Roman"/>
                <w:sz w:val="16"/>
                <w:szCs w:val="16"/>
              </w:rPr>
              <w:t>МЕТ</w:t>
            </w:r>
            <w:r>
              <w:rPr>
                <w:rFonts w:ascii="Times New Roman" w:eastAsia="Arial" w:hAnsi="Times New Roman" w:cs="Times New Roman"/>
                <w:sz w:val="16"/>
                <w:szCs w:val="16"/>
                <w:lang w:val="mk-MK"/>
              </w:rPr>
              <w:br/>
            </w:r>
            <w:r>
              <w:rPr>
                <w:rFonts w:ascii="Times New Roman" w:eastAsia="Arial" w:hAnsi="Times New Roman" w:cs="Times New Roman"/>
                <w:sz w:val="16"/>
                <w:szCs w:val="16"/>
              </w:rPr>
              <w:t>МЕРМС</w:t>
            </w:r>
          </w:p>
        </w:tc>
        <w:tc>
          <w:tcPr>
            <w:tcW w:w="1152" w:type="dxa"/>
            <w:vAlign w:val="center"/>
          </w:tcPr>
          <w:p w14:paraId="791DDCD9"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Q1 2028</w:t>
            </w:r>
          </w:p>
        </w:tc>
        <w:tc>
          <w:tcPr>
            <w:tcW w:w="1299" w:type="dxa"/>
            <w:vAlign w:val="center"/>
          </w:tcPr>
          <w:p w14:paraId="09AE5F0E" w14:textId="78809B0D"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Q1 202</w:t>
            </w:r>
            <w:r w:rsidR="00F418D6">
              <w:rPr>
                <w:rFonts w:ascii="Times New Roman" w:eastAsia="Arial" w:hAnsi="Times New Roman" w:cs="Times New Roman"/>
                <w:sz w:val="16"/>
                <w:szCs w:val="16"/>
              </w:rPr>
              <w:t>9</w:t>
            </w:r>
          </w:p>
        </w:tc>
        <w:tc>
          <w:tcPr>
            <w:tcW w:w="1501" w:type="dxa"/>
            <w:vAlign w:val="center"/>
          </w:tcPr>
          <w:p w14:paraId="0181570F" w14:textId="57964A78" w:rsidR="00FE200F" w:rsidRDefault="00F418D6">
            <w:pPr>
              <w:spacing w:line="216" w:lineRule="auto"/>
              <w:rPr>
                <w:rFonts w:ascii="Times New Roman" w:hAnsi="Times New Roman" w:cs="Times New Roman"/>
                <w:sz w:val="16"/>
                <w:szCs w:val="16"/>
              </w:rPr>
            </w:pPr>
            <w:r>
              <w:rPr>
                <w:rFonts w:ascii="Times New Roman" w:eastAsia="Arial" w:hAnsi="Times New Roman" w:cs="Times New Roman"/>
                <w:sz w:val="16"/>
                <w:szCs w:val="16"/>
              </w:rPr>
              <w:t>30.000.000</w:t>
            </w:r>
          </w:p>
        </w:tc>
        <w:tc>
          <w:tcPr>
            <w:tcW w:w="1699" w:type="dxa"/>
            <w:vAlign w:val="center"/>
          </w:tcPr>
          <w:p w14:paraId="59F58C0D"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ИПА III</w:t>
            </w:r>
            <w:r>
              <w:rPr>
                <w:rFonts w:ascii="Times New Roman" w:hAnsi="Times New Roman" w:cs="Times New Roman"/>
                <w:sz w:val="16"/>
                <w:szCs w:val="16"/>
              </w:rPr>
              <w:br/>
            </w:r>
            <w:r>
              <w:rPr>
                <w:rFonts w:ascii="Times New Roman" w:eastAsia="Arial" w:hAnsi="Times New Roman" w:cs="Times New Roman"/>
                <w:sz w:val="16"/>
                <w:szCs w:val="16"/>
              </w:rPr>
              <w:t>Буџет на РСМ</w:t>
            </w:r>
          </w:p>
        </w:tc>
        <w:tc>
          <w:tcPr>
            <w:tcW w:w="3346" w:type="dxa"/>
            <w:vMerge w:val="restart"/>
            <w:tcMar>
              <w:top w:w="35" w:type="dxa"/>
              <w:left w:w="45" w:type="dxa"/>
              <w:bottom w:w="35" w:type="dxa"/>
              <w:right w:w="45" w:type="dxa"/>
            </w:tcMar>
            <w:vAlign w:val="center"/>
          </w:tcPr>
          <w:p w14:paraId="3C0AB201"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Показател на резултат: Финансирани секторски ВИ пилот-проекти.</w:t>
            </w:r>
          </w:p>
          <w:p w14:paraId="015BA928"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Почетна вредност (2027): 0 финансирани пилот-проекти.</w:t>
            </w:r>
          </w:p>
          <w:p w14:paraId="34752060"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 xml:space="preserve">Преодна вредност (2028): Најмалку 2 проекти во најмалку 1 сектори. </w:t>
            </w:r>
          </w:p>
          <w:p w14:paraId="0C67C93D" w14:textId="77777777" w:rsidR="00FE200F" w:rsidRDefault="00E77CAF">
            <w:pPr>
              <w:spacing w:line="216" w:lineRule="auto"/>
              <w:rPr>
                <w:rFonts w:ascii="Times New Roman" w:hAnsi="Times New Roman" w:cs="Times New Roman"/>
                <w:sz w:val="16"/>
                <w:szCs w:val="16"/>
                <w:lang w:val="mk-MK"/>
              </w:rPr>
            </w:pPr>
            <w:r>
              <w:rPr>
                <w:rFonts w:ascii="Times New Roman" w:eastAsia="Arial" w:hAnsi="Times New Roman" w:cs="Times New Roman"/>
                <w:sz w:val="16"/>
                <w:szCs w:val="16"/>
              </w:rPr>
              <w:t>Крајна вредност (2029): Најмалку 5 проекти во најмалку 2 с</w:t>
            </w:r>
            <w:r>
              <w:rPr>
                <w:rFonts w:ascii="Times New Roman" w:eastAsia="Arial" w:hAnsi="Times New Roman" w:cs="Times New Roman"/>
                <w:sz w:val="16"/>
                <w:szCs w:val="16"/>
              </w:rPr>
              <w:t>ектори.</w:t>
            </w:r>
          </w:p>
        </w:tc>
      </w:tr>
      <w:tr w:rsidR="00FE200F" w14:paraId="4E609A14" w14:textId="77777777">
        <w:trPr>
          <w:cantSplit/>
          <w:jc w:val="center"/>
        </w:trPr>
        <w:tc>
          <w:tcPr>
            <w:tcW w:w="1900" w:type="dxa"/>
            <w:vMerge/>
            <w:tcMar>
              <w:top w:w="50" w:type="dxa"/>
              <w:left w:w="55" w:type="dxa"/>
              <w:bottom w:w="50" w:type="dxa"/>
              <w:right w:w="55" w:type="dxa"/>
            </w:tcMar>
          </w:tcPr>
          <w:p w14:paraId="0312A423" w14:textId="77777777" w:rsidR="00FE200F" w:rsidRDefault="00FE200F">
            <w:pPr>
              <w:rPr>
                <w:rFonts w:ascii="Times New Roman" w:hAnsi="Times New Roman" w:cs="Times New Roman"/>
                <w:sz w:val="16"/>
                <w:szCs w:val="16"/>
              </w:rPr>
            </w:pPr>
          </w:p>
        </w:tc>
        <w:tc>
          <w:tcPr>
            <w:tcW w:w="3202" w:type="dxa"/>
            <w:vAlign w:val="center"/>
          </w:tcPr>
          <w:p w14:paraId="7D2F8CAB"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А2.3.2.2. Повик за ВИ во здравството (дијагностика, предиктивна аналитика)</w:t>
            </w:r>
          </w:p>
        </w:tc>
        <w:tc>
          <w:tcPr>
            <w:tcW w:w="1899" w:type="dxa"/>
            <w:tcMar>
              <w:top w:w="50" w:type="dxa"/>
              <w:left w:w="55" w:type="dxa"/>
              <w:bottom w:w="50" w:type="dxa"/>
              <w:right w:w="55" w:type="dxa"/>
            </w:tcMar>
          </w:tcPr>
          <w:p w14:paraId="24347C4A"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ИНОВА</w:t>
            </w:r>
            <w:r>
              <w:rPr>
                <w:rFonts w:ascii="Times New Roman" w:hAnsi="Times New Roman" w:cs="Times New Roman"/>
                <w:sz w:val="16"/>
                <w:szCs w:val="16"/>
              </w:rPr>
              <w:br/>
            </w:r>
            <w:r>
              <w:rPr>
                <w:rFonts w:ascii="Times New Roman" w:eastAsia="Arial" w:hAnsi="Times New Roman" w:cs="Times New Roman"/>
                <w:sz w:val="16"/>
                <w:szCs w:val="16"/>
              </w:rPr>
              <w:t>МЗ</w:t>
            </w:r>
            <w:r>
              <w:rPr>
                <w:rFonts w:ascii="Times New Roman" w:hAnsi="Times New Roman" w:cs="Times New Roman"/>
                <w:sz w:val="16"/>
                <w:szCs w:val="16"/>
              </w:rPr>
              <w:br/>
            </w:r>
            <w:r>
              <w:rPr>
                <w:rFonts w:ascii="Times New Roman" w:eastAsia="Arial" w:hAnsi="Times New Roman" w:cs="Times New Roman"/>
                <w:sz w:val="16"/>
                <w:szCs w:val="16"/>
              </w:rPr>
              <w:t>МЗШВ</w:t>
            </w:r>
            <w:r>
              <w:rPr>
                <w:rFonts w:ascii="Times New Roman" w:hAnsi="Times New Roman" w:cs="Times New Roman"/>
                <w:sz w:val="16"/>
                <w:szCs w:val="16"/>
              </w:rPr>
              <w:br/>
            </w:r>
            <w:r>
              <w:rPr>
                <w:rFonts w:ascii="Times New Roman" w:eastAsia="Arial" w:hAnsi="Times New Roman" w:cs="Times New Roman"/>
                <w:sz w:val="16"/>
                <w:szCs w:val="16"/>
              </w:rPr>
              <w:t>МЕТ</w:t>
            </w:r>
          </w:p>
        </w:tc>
        <w:tc>
          <w:tcPr>
            <w:tcW w:w="1152" w:type="dxa"/>
            <w:tcMar>
              <w:top w:w="50" w:type="dxa"/>
              <w:left w:w="55" w:type="dxa"/>
              <w:bottom w:w="50" w:type="dxa"/>
              <w:right w:w="55" w:type="dxa"/>
            </w:tcMar>
          </w:tcPr>
          <w:p w14:paraId="0C90F4EF"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Q1 2028</w:t>
            </w:r>
          </w:p>
        </w:tc>
        <w:tc>
          <w:tcPr>
            <w:tcW w:w="1299" w:type="dxa"/>
            <w:tcMar>
              <w:top w:w="50" w:type="dxa"/>
              <w:left w:w="55" w:type="dxa"/>
              <w:bottom w:w="50" w:type="dxa"/>
              <w:right w:w="55" w:type="dxa"/>
            </w:tcMar>
          </w:tcPr>
          <w:p w14:paraId="30112454" w14:textId="59FEC959"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Q1 202</w:t>
            </w:r>
            <w:r w:rsidR="00F418D6">
              <w:rPr>
                <w:rFonts w:ascii="Times New Roman" w:eastAsia="Arial" w:hAnsi="Times New Roman" w:cs="Times New Roman"/>
                <w:sz w:val="16"/>
                <w:szCs w:val="16"/>
              </w:rPr>
              <w:t>9</w:t>
            </w:r>
          </w:p>
        </w:tc>
        <w:tc>
          <w:tcPr>
            <w:tcW w:w="1501" w:type="dxa"/>
            <w:tcMar>
              <w:top w:w="50" w:type="dxa"/>
              <w:left w:w="55" w:type="dxa"/>
              <w:bottom w:w="50" w:type="dxa"/>
              <w:right w:w="55" w:type="dxa"/>
            </w:tcMar>
          </w:tcPr>
          <w:p w14:paraId="1CAB8A80" w14:textId="6F828B54" w:rsidR="00FE200F" w:rsidRDefault="00F418D6">
            <w:pPr>
              <w:spacing w:line="216" w:lineRule="auto"/>
              <w:rPr>
                <w:rFonts w:ascii="Times New Roman" w:hAnsi="Times New Roman" w:cs="Times New Roman"/>
                <w:sz w:val="16"/>
                <w:szCs w:val="16"/>
              </w:rPr>
            </w:pPr>
            <w:r>
              <w:rPr>
                <w:rFonts w:ascii="Times New Roman" w:eastAsia="Arial" w:hAnsi="Times New Roman" w:cs="Times New Roman"/>
                <w:sz w:val="16"/>
                <w:szCs w:val="16"/>
              </w:rPr>
              <w:t>30.000.000</w:t>
            </w:r>
          </w:p>
        </w:tc>
        <w:tc>
          <w:tcPr>
            <w:tcW w:w="1699" w:type="dxa"/>
            <w:tcMar>
              <w:top w:w="50" w:type="dxa"/>
              <w:left w:w="55" w:type="dxa"/>
              <w:bottom w:w="50" w:type="dxa"/>
              <w:right w:w="55" w:type="dxa"/>
            </w:tcMar>
          </w:tcPr>
          <w:p w14:paraId="7BED1E1F"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ИПА III</w:t>
            </w:r>
            <w:r>
              <w:rPr>
                <w:rFonts w:ascii="Times New Roman" w:hAnsi="Times New Roman" w:cs="Times New Roman"/>
                <w:sz w:val="16"/>
                <w:szCs w:val="16"/>
              </w:rPr>
              <w:br/>
            </w:r>
            <w:r>
              <w:rPr>
                <w:rFonts w:ascii="Times New Roman" w:eastAsia="Arial" w:hAnsi="Times New Roman" w:cs="Times New Roman"/>
                <w:sz w:val="16"/>
                <w:szCs w:val="16"/>
              </w:rPr>
              <w:t>Буџет на РСМ</w:t>
            </w:r>
          </w:p>
        </w:tc>
        <w:tc>
          <w:tcPr>
            <w:tcW w:w="3346" w:type="dxa"/>
            <w:vMerge/>
            <w:tcMar>
              <w:top w:w="50" w:type="dxa"/>
              <w:left w:w="55" w:type="dxa"/>
              <w:bottom w:w="50" w:type="dxa"/>
              <w:right w:w="55" w:type="dxa"/>
            </w:tcMar>
          </w:tcPr>
          <w:p w14:paraId="52A9925B" w14:textId="77777777" w:rsidR="00FE200F" w:rsidRDefault="00FE200F">
            <w:pPr>
              <w:rPr>
                <w:rFonts w:ascii="Times New Roman" w:hAnsi="Times New Roman" w:cs="Times New Roman"/>
                <w:sz w:val="16"/>
                <w:szCs w:val="16"/>
              </w:rPr>
            </w:pPr>
          </w:p>
        </w:tc>
      </w:tr>
      <w:tr w:rsidR="00FE200F" w14:paraId="4BE84D1E" w14:textId="77777777">
        <w:trPr>
          <w:cantSplit/>
          <w:jc w:val="center"/>
        </w:trPr>
        <w:tc>
          <w:tcPr>
            <w:tcW w:w="1900" w:type="dxa"/>
            <w:vMerge/>
            <w:tcMar>
              <w:top w:w="50" w:type="dxa"/>
              <w:left w:w="55" w:type="dxa"/>
              <w:bottom w:w="50" w:type="dxa"/>
              <w:right w:w="55" w:type="dxa"/>
            </w:tcMar>
          </w:tcPr>
          <w:p w14:paraId="6B03D61E" w14:textId="77777777" w:rsidR="00FE200F" w:rsidRDefault="00FE200F">
            <w:pPr>
              <w:rPr>
                <w:rFonts w:ascii="Times New Roman" w:hAnsi="Times New Roman" w:cs="Times New Roman"/>
                <w:sz w:val="16"/>
                <w:szCs w:val="16"/>
              </w:rPr>
            </w:pPr>
          </w:p>
        </w:tc>
        <w:tc>
          <w:tcPr>
            <w:tcW w:w="3202" w:type="dxa"/>
            <w:vAlign w:val="center"/>
          </w:tcPr>
          <w:p w14:paraId="0D3A2979"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А2.3.2.3. Финансирање на минимум 5 секторски пилот-проекти</w:t>
            </w:r>
          </w:p>
        </w:tc>
        <w:tc>
          <w:tcPr>
            <w:tcW w:w="1899" w:type="dxa"/>
            <w:tcMar>
              <w:top w:w="50" w:type="dxa"/>
              <w:left w:w="55" w:type="dxa"/>
              <w:bottom w:w="50" w:type="dxa"/>
              <w:right w:w="55" w:type="dxa"/>
            </w:tcMar>
          </w:tcPr>
          <w:p w14:paraId="0B55C214"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ИНОВА</w:t>
            </w:r>
            <w:r>
              <w:rPr>
                <w:rFonts w:ascii="Times New Roman" w:hAnsi="Times New Roman" w:cs="Times New Roman"/>
                <w:sz w:val="16"/>
                <w:szCs w:val="16"/>
              </w:rPr>
              <w:br/>
            </w:r>
            <w:r>
              <w:rPr>
                <w:rFonts w:ascii="Times New Roman" w:eastAsia="Arial" w:hAnsi="Times New Roman" w:cs="Times New Roman"/>
                <w:sz w:val="16"/>
                <w:szCs w:val="16"/>
              </w:rPr>
              <w:t>МЗ</w:t>
            </w:r>
            <w:r>
              <w:rPr>
                <w:rFonts w:ascii="Times New Roman" w:hAnsi="Times New Roman" w:cs="Times New Roman"/>
                <w:sz w:val="16"/>
                <w:szCs w:val="16"/>
              </w:rPr>
              <w:br/>
            </w:r>
            <w:r>
              <w:rPr>
                <w:rFonts w:ascii="Times New Roman" w:eastAsia="Arial" w:hAnsi="Times New Roman" w:cs="Times New Roman"/>
                <w:sz w:val="16"/>
                <w:szCs w:val="16"/>
              </w:rPr>
              <w:t>МЗШВ</w:t>
            </w:r>
            <w:r>
              <w:rPr>
                <w:rFonts w:ascii="Times New Roman" w:hAnsi="Times New Roman" w:cs="Times New Roman"/>
                <w:sz w:val="16"/>
                <w:szCs w:val="16"/>
              </w:rPr>
              <w:br/>
            </w:r>
            <w:r>
              <w:rPr>
                <w:rFonts w:ascii="Times New Roman" w:eastAsia="Arial" w:hAnsi="Times New Roman" w:cs="Times New Roman"/>
                <w:sz w:val="16"/>
                <w:szCs w:val="16"/>
              </w:rPr>
              <w:t>МЕТ</w:t>
            </w:r>
          </w:p>
        </w:tc>
        <w:tc>
          <w:tcPr>
            <w:tcW w:w="1152" w:type="dxa"/>
            <w:tcMar>
              <w:top w:w="50" w:type="dxa"/>
              <w:left w:w="55" w:type="dxa"/>
              <w:bottom w:w="50" w:type="dxa"/>
              <w:right w:w="55" w:type="dxa"/>
            </w:tcMar>
          </w:tcPr>
          <w:p w14:paraId="740338CD"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Q1 2028</w:t>
            </w:r>
          </w:p>
        </w:tc>
        <w:tc>
          <w:tcPr>
            <w:tcW w:w="1299" w:type="dxa"/>
            <w:tcMar>
              <w:top w:w="50" w:type="dxa"/>
              <w:left w:w="55" w:type="dxa"/>
              <w:bottom w:w="50" w:type="dxa"/>
              <w:right w:w="55" w:type="dxa"/>
            </w:tcMar>
          </w:tcPr>
          <w:p w14:paraId="3AA711E0" w14:textId="105E73B6"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Q1 202</w:t>
            </w:r>
            <w:r w:rsidR="00F418D6">
              <w:rPr>
                <w:rFonts w:ascii="Times New Roman" w:eastAsia="Arial" w:hAnsi="Times New Roman" w:cs="Times New Roman"/>
                <w:sz w:val="16"/>
                <w:szCs w:val="16"/>
              </w:rPr>
              <w:t>9</w:t>
            </w:r>
          </w:p>
        </w:tc>
        <w:tc>
          <w:tcPr>
            <w:tcW w:w="1501" w:type="dxa"/>
            <w:tcMar>
              <w:top w:w="50" w:type="dxa"/>
              <w:left w:w="55" w:type="dxa"/>
              <w:bottom w:w="50" w:type="dxa"/>
              <w:right w:w="55" w:type="dxa"/>
            </w:tcMar>
          </w:tcPr>
          <w:p w14:paraId="36658C87" w14:textId="63AD9BF7" w:rsidR="00FE200F" w:rsidRDefault="00F418D6">
            <w:pPr>
              <w:spacing w:line="216" w:lineRule="auto"/>
              <w:rPr>
                <w:rFonts w:ascii="Times New Roman" w:hAnsi="Times New Roman" w:cs="Times New Roman"/>
                <w:sz w:val="16"/>
                <w:szCs w:val="16"/>
              </w:rPr>
            </w:pPr>
            <w:r>
              <w:rPr>
                <w:rFonts w:ascii="Times New Roman" w:eastAsia="Arial" w:hAnsi="Times New Roman" w:cs="Times New Roman"/>
                <w:sz w:val="16"/>
                <w:szCs w:val="16"/>
              </w:rPr>
              <w:t>30.000.000</w:t>
            </w:r>
          </w:p>
        </w:tc>
        <w:tc>
          <w:tcPr>
            <w:tcW w:w="1699" w:type="dxa"/>
            <w:tcMar>
              <w:top w:w="50" w:type="dxa"/>
              <w:left w:w="55" w:type="dxa"/>
              <w:bottom w:w="50" w:type="dxa"/>
              <w:right w:w="55" w:type="dxa"/>
            </w:tcMar>
          </w:tcPr>
          <w:p w14:paraId="70CCDBD3"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ИПА III</w:t>
            </w:r>
            <w:r>
              <w:rPr>
                <w:rFonts w:ascii="Times New Roman" w:hAnsi="Times New Roman" w:cs="Times New Roman"/>
                <w:sz w:val="16"/>
                <w:szCs w:val="16"/>
              </w:rPr>
              <w:br/>
            </w:r>
            <w:r>
              <w:rPr>
                <w:rFonts w:ascii="Times New Roman" w:eastAsia="Arial" w:hAnsi="Times New Roman" w:cs="Times New Roman"/>
                <w:sz w:val="16"/>
                <w:szCs w:val="16"/>
              </w:rPr>
              <w:t>Буџет на РСМ</w:t>
            </w:r>
          </w:p>
        </w:tc>
        <w:tc>
          <w:tcPr>
            <w:tcW w:w="3346" w:type="dxa"/>
            <w:vMerge/>
            <w:tcMar>
              <w:top w:w="50" w:type="dxa"/>
              <w:left w:w="55" w:type="dxa"/>
              <w:bottom w:w="50" w:type="dxa"/>
              <w:right w:w="55" w:type="dxa"/>
            </w:tcMar>
          </w:tcPr>
          <w:p w14:paraId="7E1A241C" w14:textId="77777777" w:rsidR="00FE200F" w:rsidRDefault="00FE200F">
            <w:pPr>
              <w:rPr>
                <w:rFonts w:ascii="Times New Roman" w:hAnsi="Times New Roman" w:cs="Times New Roman"/>
                <w:sz w:val="16"/>
                <w:szCs w:val="16"/>
              </w:rPr>
            </w:pPr>
          </w:p>
        </w:tc>
      </w:tr>
    </w:tbl>
    <w:p w14:paraId="29E356FC" w14:textId="77777777" w:rsidR="00FE200F" w:rsidRDefault="00FE200F">
      <w:pPr>
        <w:rPr>
          <w:rFonts w:ascii="Times New Roman" w:hAnsi="Times New Roman" w:cs="Times New Roman"/>
          <w:sz w:val="16"/>
          <w:szCs w:val="16"/>
        </w:rPr>
      </w:pPr>
    </w:p>
    <w:tbl>
      <w:tblPr>
        <w:tblStyle w:val="TableGrid"/>
        <w:tblW w:w="16000" w:type="dxa"/>
        <w:jc w:val="center"/>
        <w:tblLayout w:type="fixed"/>
        <w:tblCellMar>
          <w:top w:w="60" w:type="dxa"/>
          <w:left w:w="70" w:type="dxa"/>
          <w:bottom w:w="60" w:type="dxa"/>
          <w:right w:w="70" w:type="dxa"/>
        </w:tblCellMar>
        <w:tblLook w:val="04A0" w:firstRow="1" w:lastRow="0" w:firstColumn="1" w:lastColumn="0" w:noHBand="0" w:noVBand="1"/>
      </w:tblPr>
      <w:tblGrid>
        <w:gridCol w:w="1901"/>
        <w:gridCol w:w="3203"/>
        <w:gridCol w:w="1899"/>
        <w:gridCol w:w="1152"/>
        <w:gridCol w:w="1299"/>
        <w:gridCol w:w="1501"/>
        <w:gridCol w:w="1699"/>
        <w:gridCol w:w="3346"/>
      </w:tblGrid>
      <w:tr w:rsidR="00FE200F" w14:paraId="3CE4C922" w14:textId="77777777">
        <w:trPr>
          <w:cantSplit/>
          <w:tblHeader/>
          <w:jc w:val="center"/>
        </w:trPr>
        <w:tc>
          <w:tcPr>
            <w:tcW w:w="1900" w:type="dxa"/>
            <w:shd w:val="clear" w:color="auto" w:fill="4472C4"/>
            <w:vAlign w:val="center"/>
          </w:tcPr>
          <w:p w14:paraId="118CC848" w14:textId="77777777" w:rsidR="00FE200F" w:rsidRDefault="00E77CAF">
            <w:pPr>
              <w:spacing w:line="216"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Мерки</w:t>
            </w:r>
          </w:p>
        </w:tc>
        <w:tc>
          <w:tcPr>
            <w:tcW w:w="3202" w:type="dxa"/>
            <w:shd w:val="clear" w:color="auto" w:fill="4472C4"/>
            <w:vAlign w:val="center"/>
          </w:tcPr>
          <w:p w14:paraId="60EC379D" w14:textId="77777777" w:rsidR="00FE200F" w:rsidRDefault="00E77CAF">
            <w:pPr>
              <w:spacing w:line="216"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Активности</w:t>
            </w:r>
          </w:p>
        </w:tc>
        <w:tc>
          <w:tcPr>
            <w:tcW w:w="1899" w:type="dxa"/>
            <w:shd w:val="clear" w:color="auto" w:fill="4472C4"/>
            <w:vAlign w:val="center"/>
          </w:tcPr>
          <w:p w14:paraId="611E6A7C" w14:textId="77777777" w:rsidR="00FE200F" w:rsidRDefault="00E77CAF">
            <w:pPr>
              <w:spacing w:line="216"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Водечки орган /</w:t>
            </w:r>
            <w:r>
              <w:rPr>
                <w:rFonts w:ascii="Times New Roman" w:hAnsi="Times New Roman" w:cs="Times New Roman"/>
                <w:sz w:val="16"/>
                <w:szCs w:val="16"/>
              </w:rPr>
              <w:br/>
            </w:r>
            <w:r>
              <w:rPr>
                <w:rFonts w:ascii="Times New Roman" w:eastAsia="Arial" w:hAnsi="Times New Roman" w:cs="Times New Roman"/>
                <w:b/>
                <w:color w:val="FFFFFF"/>
                <w:sz w:val="16"/>
                <w:szCs w:val="16"/>
              </w:rPr>
              <w:t>Други органи</w:t>
            </w:r>
          </w:p>
        </w:tc>
        <w:tc>
          <w:tcPr>
            <w:tcW w:w="1152" w:type="dxa"/>
            <w:shd w:val="clear" w:color="auto" w:fill="4472C4"/>
            <w:vAlign w:val="center"/>
          </w:tcPr>
          <w:p w14:paraId="66E7F8D4" w14:textId="77777777" w:rsidR="00FE200F" w:rsidRDefault="00E77CAF">
            <w:pPr>
              <w:spacing w:line="216"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Почетен</w:t>
            </w:r>
            <w:r>
              <w:rPr>
                <w:rFonts w:ascii="Times New Roman" w:hAnsi="Times New Roman" w:cs="Times New Roman"/>
                <w:sz w:val="16"/>
                <w:szCs w:val="16"/>
              </w:rPr>
              <w:br/>
            </w:r>
            <w:r>
              <w:rPr>
                <w:rFonts w:ascii="Times New Roman" w:eastAsia="Arial" w:hAnsi="Times New Roman" w:cs="Times New Roman"/>
                <w:b/>
                <w:color w:val="FFFFFF"/>
                <w:sz w:val="16"/>
                <w:szCs w:val="16"/>
              </w:rPr>
              <w:t>датум</w:t>
            </w:r>
            <w:r>
              <w:rPr>
                <w:rFonts w:ascii="Times New Roman" w:hAnsi="Times New Roman" w:cs="Times New Roman"/>
                <w:sz w:val="16"/>
                <w:szCs w:val="16"/>
              </w:rPr>
              <w:br/>
            </w:r>
            <w:r>
              <w:rPr>
                <w:rFonts w:ascii="Times New Roman" w:eastAsia="Arial" w:hAnsi="Times New Roman" w:cs="Times New Roman"/>
                <w:b/>
                <w:color w:val="FFFFFF"/>
                <w:sz w:val="16"/>
                <w:szCs w:val="16"/>
              </w:rPr>
              <w:t>(квартал)</w:t>
            </w:r>
          </w:p>
        </w:tc>
        <w:tc>
          <w:tcPr>
            <w:tcW w:w="1299" w:type="dxa"/>
            <w:shd w:val="clear" w:color="auto" w:fill="4472C4"/>
            <w:vAlign w:val="center"/>
          </w:tcPr>
          <w:p w14:paraId="6C41B86D" w14:textId="77777777" w:rsidR="00FE200F" w:rsidRDefault="00E77CAF">
            <w:pPr>
              <w:spacing w:line="216"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Планиран датум на</w:t>
            </w:r>
            <w:r>
              <w:rPr>
                <w:rFonts w:ascii="Times New Roman" w:hAnsi="Times New Roman" w:cs="Times New Roman"/>
                <w:sz w:val="16"/>
                <w:szCs w:val="16"/>
              </w:rPr>
              <w:br/>
            </w:r>
            <w:r>
              <w:rPr>
                <w:rFonts w:ascii="Times New Roman" w:eastAsia="Arial" w:hAnsi="Times New Roman" w:cs="Times New Roman"/>
                <w:b/>
                <w:color w:val="FFFFFF"/>
                <w:sz w:val="16"/>
                <w:szCs w:val="16"/>
              </w:rPr>
              <w:t>извршување</w:t>
            </w:r>
            <w:r>
              <w:rPr>
                <w:rFonts w:ascii="Times New Roman" w:hAnsi="Times New Roman" w:cs="Times New Roman"/>
                <w:sz w:val="16"/>
                <w:szCs w:val="16"/>
              </w:rPr>
              <w:br/>
            </w:r>
            <w:r>
              <w:rPr>
                <w:rFonts w:ascii="Times New Roman" w:eastAsia="Arial" w:hAnsi="Times New Roman" w:cs="Times New Roman"/>
                <w:b/>
                <w:color w:val="FFFFFF"/>
                <w:sz w:val="16"/>
                <w:szCs w:val="16"/>
              </w:rPr>
              <w:t>(квартал)</w:t>
            </w:r>
          </w:p>
        </w:tc>
        <w:tc>
          <w:tcPr>
            <w:tcW w:w="1501" w:type="dxa"/>
            <w:shd w:val="clear" w:color="auto" w:fill="4472C4"/>
            <w:vAlign w:val="center"/>
          </w:tcPr>
          <w:p w14:paraId="304D1E84" w14:textId="77777777" w:rsidR="00FE200F" w:rsidRDefault="00E77CAF">
            <w:pPr>
              <w:spacing w:line="216"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Проценка на</w:t>
            </w:r>
            <w:r>
              <w:rPr>
                <w:rFonts w:ascii="Times New Roman" w:hAnsi="Times New Roman" w:cs="Times New Roman"/>
                <w:sz w:val="16"/>
                <w:szCs w:val="16"/>
              </w:rPr>
              <w:br/>
            </w:r>
            <w:r>
              <w:rPr>
                <w:rFonts w:ascii="Times New Roman" w:eastAsia="Arial" w:hAnsi="Times New Roman" w:cs="Times New Roman"/>
                <w:b/>
                <w:color w:val="FFFFFF"/>
                <w:sz w:val="16"/>
                <w:szCs w:val="16"/>
              </w:rPr>
              <w:t>потребни средства</w:t>
            </w:r>
            <w:r>
              <w:rPr>
                <w:rFonts w:ascii="Times New Roman" w:hAnsi="Times New Roman" w:cs="Times New Roman"/>
                <w:sz w:val="16"/>
                <w:szCs w:val="16"/>
              </w:rPr>
              <w:br/>
            </w:r>
            <w:r>
              <w:rPr>
                <w:rFonts w:ascii="Times New Roman" w:eastAsia="Arial" w:hAnsi="Times New Roman" w:cs="Times New Roman"/>
                <w:b/>
                <w:color w:val="FFFFFF"/>
                <w:sz w:val="16"/>
                <w:szCs w:val="16"/>
              </w:rPr>
              <w:t>(EUR)</w:t>
            </w:r>
          </w:p>
        </w:tc>
        <w:tc>
          <w:tcPr>
            <w:tcW w:w="1699" w:type="dxa"/>
            <w:shd w:val="clear" w:color="auto" w:fill="4472C4"/>
            <w:vAlign w:val="center"/>
          </w:tcPr>
          <w:p w14:paraId="19987D9B" w14:textId="77777777" w:rsidR="00FE200F" w:rsidRDefault="00E77CAF">
            <w:pPr>
              <w:spacing w:line="216"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Извор на</w:t>
            </w:r>
            <w:r>
              <w:rPr>
                <w:rFonts w:ascii="Times New Roman" w:hAnsi="Times New Roman" w:cs="Times New Roman"/>
                <w:sz w:val="16"/>
                <w:szCs w:val="16"/>
              </w:rPr>
              <w:br/>
            </w:r>
            <w:r>
              <w:rPr>
                <w:rFonts w:ascii="Times New Roman" w:eastAsia="Arial" w:hAnsi="Times New Roman" w:cs="Times New Roman"/>
                <w:b/>
                <w:color w:val="FFFFFF"/>
                <w:sz w:val="16"/>
                <w:szCs w:val="16"/>
              </w:rPr>
              <w:t>финансирање</w:t>
            </w:r>
          </w:p>
        </w:tc>
        <w:tc>
          <w:tcPr>
            <w:tcW w:w="3346" w:type="dxa"/>
            <w:shd w:val="clear" w:color="auto" w:fill="4472C4"/>
            <w:tcMar>
              <w:top w:w="35" w:type="dxa"/>
              <w:left w:w="45" w:type="dxa"/>
              <w:bottom w:w="35" w:type="dxa"/>
              <w:right w:w="45" w:type="dxa"/>
            </w:tcMar>
            <w:vAlign w:val="center"/>
          </w:tcPr>
          <w:p w14:paraId="0A175A03" w14:textId="77777777" w:rsidR="00FE200F" w:rsidRDefault="00E77CAF">
            <w:pPr>
              <w:spacing w:line="218"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 xml:space="preserve">Показател на резултат и дијагностичка поврзаност (Фаза </w:t>
            </w:r>
            <w:r>
              <w:rPr>
                <w:rFonts w:ascii="Times New Roman" w:eastAsia="Arial" w:hAnsi="Times New Roman" w:cs="Times New Roman"/>
                <w:b/>
                <w:color w:val="FFFFFF"/>
                <w:sz w:val="16"/>
                <w:szCs w:val="16"/>
              </w:rPr>
              <w:t>1)</w:t>
            </w:r>
          </w:p>
        </w:tc>
      </w:tr>
      <w:tr w:rsidR="00FE200F" w14:paraId="73F134A9" w14:textId="77777777">
        <w:trPr>
          <w:cantSplit/>
          <w:jc w:val="center"/>
        </w:trPr>
        <w:tc>
          <w:tcPr>
            <w:tcW w:w="8153" w:type="dxa"/>
            <w:gridSpan w:val="4"/>
            <w:shd w:val="clear" w:color="auto" w:fill="D9EAF7"/>
            <w:vAlign w:val="center"/>
          </w:tcPr>
          <w:p w14:paraId="3004DEFD"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b/>
                <w:sz w:val="16"/>
                <w:szCs w:val="16"/>
              </w:rPr>
              <w:t>ПРИОРИТЕТНА ОБЛАСТ 3: ОБРАЗОВАНИЕ И НАУКА</w:t>
            </w:r>
          </w:p>
        </w:tc>
        <w:tc>
          <w:tcPr>
            <w:tcW w:w="7845" w:type="dxa"/>
            <w:gridSpan w:val="4"/>
            <w:shd w:val="clear" w:color="auto" w:fill="D9EAF7"/>
            <w:tcMar>
              <w:top w:w="40" w:type="dxa"/>
              <w:left w:w="50" w:type="dxa"/>
              <w:bottom w:w="40" w:type="dxa"/>
              <w:right w:w="50" w:type="dxa"/>
            </w:tcMar>
            <w:vAlign w:val="center"/>
          </w:tcPr>
          <w:p w14:paraId="45EB6E3F"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ПОВРЗАНОСТ СО НАЦИОНАЛНАТА РАЗВОЈНА СТРАТЕГИЈА 2024–2044:</w:t>
            </w:r>
            <w:r>
              <w:rPr>
                <w:rFonts w:ascii="Times New Roman" w:hAnsi="Times New Roman" w:cs="Times New Roman"/>
                <w:sz w:val="16"/>
                <w:szCs w:val="16"/>
              </w:rPr>
              <w:br/>
            </w:r>
            <w:r>
              <w:rPr>
                <w:rFonts w:ascii="Times New Roman" w:eastAsia="Arial" w:hAnsi="Times New Roman" w:cs="Times New Roman"/>
                <w:sz w:val="16"/>
                <w:szCs w:val="16"/>
              </w:rPr>
              <w:t>Демографска ревитализација и социјален и културен развој; Одржлива, иновативна и конкурентна економија; Дигитализација.</w:t>
            </w:r>
            <w:r>
              <w:rPr>
                <w:rFonts w:ascii="Times New Roman" w:hAnsi="Times New Roman" w:cs="Times New Roman"/>
                <w:sz w:val="16"/>
                <w:szCs w:val="16"/>
              </w:rPr>
              <w:br/>
            </w:r>
            <w:r>
              <w:rPr>
                <w:rFonts w:ascii="Times New Roman" w:eastAsia="Arial" w:hAnsi="Times New Roman" w:cs="Times New Roman"/>
                <w:sz w:val="16"/>
                <w:szCs w:val="16"/>
              </w:rPr>
              <w:t>Придонес: ВИ вештини, истражувањ</w:t>
            </w:r>
            <w:r>
              <w:rPr>
                <w:rFonts w:ascii="Times New Roman" w:eastAsia="Arial" w:hAnsi="Times New Roman" w:cs="Times New Roman"/>
                <w:sz w:val="16"/>
                <w:szCs w:val="16"/>
              </w:rPr>
              <w:t>е, задржување таленти и јазични технологии.</w:t>
            </w:r>
            <w:r>
              <w:rPr>
                <w:rFonts w:ascii="Times New Roman" w:hAnsi="Times New Roman" w:cs="Times New Roman"/>
                <w:sz w:val="16"/>
                <w:szCs w:val="16"/>
              </w:rPr>
              <w:br/>
            </w:r>
            <w:r>
              <w:rPr>
                <w:rFonts w:ascii="Times New Roman" w:eastAsia="Arial" w:hAnsi="Times New Roman" w:cs="Times New Roman"/>
                <w:sz w:val="16"/>
                <w:szCs w:val="16"/>
              </w:rPr>
              <w:t>СМАРТ/МК:2030: Приоритетна област 2 – Дигитални компетенции и инклузивност; Приоритетна област 4 – Бизниси, иновации, нови технологии и вештачка интелигенција.</w:t>
            </w:r>
          </w:p>
        </w:tc>
      </w:tr>
      <w:tr w:rsidR="00FE200F" w14:paraId="12C73E76" w14:textId="77777777">
        <w:trPr>
          <w:cantSplit/>
          <w:jc w:val="center"/>
        </w:trPr>
        <w:tc>
          <w:tcPr>
            <w:tcW w:w="8153" w:type="dxa"/>
            <w:gridSpan w:val="4"/>
            <w:shd w:val="clear" w:color="auto" w:fill="BDD7EE"/>
            <w:vAlign w:val="center"/>
          </w:tcPr>
          <w:p w14:paraId="077E2611"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b/>
                <w:sz w:val="16"/>
                <w:szCs w:val="16"/>
              </w:rPr>
              <w:lastRenderedPageBreak/>
              <w:t xml:space="preserve">ОПШТА ЦЕЛ: КОМПЕТЕНЦИИ, ИСТРАЖУВАЊЕ, ЈАЗИЧНИ </w:t>
            </w:r>
            <w:r>
              <w:rPr>
                <w:rFonts w:ascii="Times New Roman" w:eastAsia="Arial" w:hAnsi="Times New Roman" w:cs="Times New Roman"/>
                <w:b/>
                <w:sz w:val="16"/>
                <w:szCs w:val="16"/>
              </w:rPr>
              <w:t>ТЕХНОЛОГИИ</w:t>
            </w:r>
          </w:p>
        </w:tc>
        <w:tc>
          <w:tcPr>
            <w:tcW w:w="7845" w:type="dxa"/>
            <w:gridSpan w:val="4"/>
            <w:shd w:val="clear" w:color="auto" w:fill="EAF2F8"/>
            <w:vAlign w:val="center"/>
          </w:tcPr>
          <w:p w14:paraId="0D871898"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ПОКАЗАТЕЛ НА ЕФЕКТ: GARI Development &amp; Diffusion и број на лица опфатени со поддржани ВИ образовни, истражувачки и преквалификациски програми.Почетна вредност (2027): 24,85 (GARI 2025 – последна расположлива вредност); 0 лица.Преодна вредност (2</w:t>
            </w:r>
            <w:r>
              <w:rPr>
                <w:rFonts w:ascii="Times New Roman" w:eastAsia="Arial" w:hAnsi="Times New Roman" w:cs="Times New Roman"/>
                <w:sz w:val="16"/>
                <w:szCs w:val="16"/>
              </w:rPr>
              <w:t>028): 25,50; најмалку 350 лица. Крајна вредност (2029): 30,00; најмалку 700 лица.</w:t>
            </w:r>
          </w:p>
        </w:tc>
      </w:tr>
      <w:tr w:rsidR="00FE200F" w14:paraId="7A2F78E9" w14:textId="77777777">
        <w:trPr>
          <w:cantSplit/>
          <w:jc w:val="center"/>
        </w:trPr>
        <w:tc>
          <w:tcPr>
            <w:tcW w:w="8153" w:type="dxa"/>
            <w:gridSpan w:val="4"/>
            <w:shd w:val="clear" w:color="auto" w:fill="E7E6E6"/>
            <w:vAlign w:val="center"/>
          </w:tcPr>
          <w:p w14:paraId="00B3F409"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b/>
                <w:sz w:val="16"/>
                <w:szCs w:val="16"/>
              </w:rPr>
              <w:t>Посебна цел 3.1. Развој на ВИ компетенции во формалното образование</w:t>
            </w:r>
          </w:p>
        </w:tc>
        <w:tc>
          <w:tcPr>
            <w:tcW w:w="7845" w:type="dxa"/>
            <w:gridSpan w:val="4"/>
            <w:shd w:val="clear" w:color="auto" w:fill="F2F2F2"/>
            <w:vAlign w:val="center"/>
          </w:tcPr>
          <w:p w14:paraId="12A5B578"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 xml:space="preserve">ПОКАЗАТЕЛ НА ИСХОД: ВИ содржини и наставен кадар во формалното образование.Почетна вредност (2027): Нема </w:t>
            </w:r>
            <w:r>
              <w:rPr>
                <w:rFonts w:ascii="Times New Roman" w:eastAsia="Arial" w:hAnsi="Times New Roman" w:cs="Times New Roman"/>
                <w:sz w:val="16"/>
                <w:szCs w:val="16"/>
              </w:rPr>
              <w:t>интегриран национален ВИ модул.Преодна вредност (2028): 1 ВИ модул, 100 обучени наставници и 2 дидактички материјали. Крајна вредност (2029): 1 ВИ модул, 200 обучени наставници и 3 дидактички материјали.</w:t>
            </w:r>
          </w:p>
        </w:tc>
      </w:tr>
      <w:tr w:rsidR="00FE200F" w14:paraId="6F596907" w14:textId="77777777">
        <w:trPr>
          <w:cantSplit/>
          <w:jc w:val="center"/>
        </w:trPr>
        <w:tc>
          <w:tcPr>
            <w:tcW w:w="1900" w:type="dxa"/>
            <w:vMerge w:val="restart"/>
            <w:vAlign w:val="center"/>
          </w:tcPr>
          <w:p w14:paraId="0A3E7075"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b/>
                <w:sz w:val="16"/>
                <w:szCs w:val="16"/>
              </w:rPr>
              <w:t>М3.1.1. Интеграција на ВИ во наставните програми</w:t>
            </w:r>
          </w:p>
        </w:tc>
        <w:tc>
          <w:tcPr>
            <w:tcW w:w="3202" w:type="dxa"/>
            <w:vAlign w:val="center"/>
          </w:tcPr>
          <w:p w14:paraId="186CE04B"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А3.1.1.1. Воведување на модул „Основи на ВИ“ во средното образование (III и IV година), кој ги опфаќа основните принципи и ограничувања на ВИ, критичка проверка на ВИ-генерирани содржини и извори, медиумска и информациска писменост, препознавање манипулати</w:t>
            </w:r>
            <w:r>
              <w:rPr>
                <w:rFonts w:ascii="Times New Roman" w:eastAsia="Arial" w:hAnsi="Times New Roman" w:cs="Times New Roman"/>
                <w:sz w:val="16"/>
                <w:szCs w:val="16"/>
              </w:rPr>
              <w:t>вни и синтетички содржини, заштита на личните податоци, авторство и одговорна употреба. Содржините се возраст-соодветни и засновани на компетенции.</w:t>
            </w:r>
          </w:p>
        </w:tc>
        <w:tc>
          <w:tcPr>
            <w:tcW w:w="1899" w:type="dxa"/>
            <w:vAlign w:val="center"/>
          </w:tcPr>
          <w:p w14:paraId="23E56208"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МОН; БО</w:t>
            </w:r>
            <w:r>
              <w:rPr>
                <w:rFonts w:ascii="Times New Roman" w:eastAsia="Arial" w:hAnsi="Times New Roman" w:cs="Times New Roman"/>
                <w:sz w:val="16"/>
                <w:szCs w:val="16"/>
                <w:lang w:val="mk-MK"/>
              </w:rPr>
              <w:t>Р</w:t>
            </w:r>
            <w:r>
              <w:rPr>
                <w:rFonts w:ascii="Times New Roman" w:eastAsia="Arial" w:hAnsi="Times New Roman" w:cs="Times New Roman"/>
                <w:sz w:val="16"/>
                <w:szCs w:val="16"/>
              </w:rPr>
              <w:t>; ФИНКИ, ФЕИТ и Економски факултет (ECCF), УКИМ</w:t>
            </w:r>
          </w:p>
        </w:tc>
        <w:tc>
          <w:tcPr>
            <w:tcW w:w="1152" w:type="dxa"/>
            <w:vAlign w:val="center"/>
          </w:tcPr>
          <w:p w14:paraId="31EE9D01"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Q3 2027</w:t>
            </w:r>
          </w:p>
        </w:tc>
        <w:tc>
          <w:tcPr>
            <w:tcW w:w="1299" w:type="dxa"/>
            <w:vAlign w:val="center"/>
          </w:tcPr>
          <w:p w14:paraId="2A0A0FDF"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Q4 2029</w:t>
            </w:r>
          </w:p>
        </w:tc>
        <w:tc>
          <w:tcPr>
            <w:tcW w:w="1501" w:type="dxa"/>
            <w:vAlign w:val="center"/>
          </w:tcPr>
          <w:p w14:paraId="5F0FB60D" w14:textId="0B00253B" w:rsidR="00FE200F" w:rsidRDefault="00015530">
            <w:pPr>
              <w:spacing w:line="216" w:lineRule="auto"/>
              <w:rPr>
                <w:rFonts w:ascii="Times New Roman" w:hAnsi="Times New Roman" w:cs="Times New Roman"/>
                <w:sz w:val="16"/>
                <w:szCs w:val="16"/>
              </w:rPr>
            </w:pPr>
            <w:r>
              <w:rPr>
                <w:rFonts w:ascii="Times New Roman" w:eastAsia="Arial" w:hAnsi="Times New Roman" w:cs="Times New Roman"/>
                <w:sz w:val="16"/>
                <w:szCs w:val="16"/>
              </w:rPr>
              <w:t>3</w:t>
            </w:r>
            <w:r w:rsidR="00F418D6">
              <w:rPr>
                <w:rFonts w:ascii="Times New Roman" w:eastAsia="Arial" w:hAnsi="Times New Roman" w:cs="Times New Roman"/>
                <w:sz w:val="16"/>
                <w:szCs w:val="16"/>
              </w:rPr>
              <w:t>.000.000</w:t>
            </w:r>
          </w:p>
        </w:tc>
        <w:tc>
          <w:tcPr>
            <w:tcW w:w="1699" w:type="dxa"/>
            <w:vAlign w:val="center"/>
          </w:tcPr>
          <w:p w14:paraId="78C7FAF8"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Буџет на РСМ</w:t>
            </w:r>
            <w:r>
              <w:rPr>
                <w:rFonts w:ascii="Times New Roman" w:hAnsi="Times New Roman" w:cs="Times New Roman"/>
                <w:sz w:val="16"/>
                <w:szCs w:val="16"/>
              </w:rPr>
              <w:br/>
            </w:r>
            <w:r>
              <w:rPr>
                <w:rFonts w:ascii="Times New Roman" w:eastAsia="Arial" w:hAnsi="Times New Roman" w:cs="Times New Roman"/>
                <w:sz w:val="16"/>
                <w:szCs w:val="16"/>
              </w:rPr>
              <w:t>Донатори</w:t>
            </w:r>
          </w:p>
        </w:tc>
        <w:tc>
          <w:tcPr>
            <w:tcW w:w="3346" w:type="dxa"/>
            <w:vMerge w:val="restart"/>
            <w:tcMar>
              <w:top w:w="35" w:type="dxa"/>
              <w:left w:w="45" w:type="dxa"/>
              <w:bottom w:w="35" w:type="dxa"/>
              <w:right w:w="45" w:type="dxa"/>
            </w:tcMar>
            <w:vAlign w:val="center"/>
          </w:tcPr>
          <w:p w14:paraId="2AF3EBAA"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Пока</w:t>
            </w:r>
            <w:r>
              <w:rPr>
                <w:rFonts w:ascii="Times New Roman" w:eastAsia="Arial" w:hAnsi="Times New Roman" w:cs="Times New Roman"/>
                <w:sz w:val="16"/>
                <w:szCs w:val="16"/>
              </w:rPr>
              <w:t>зател на резултат: ВИ содржини интегрирани во наставните програми.</w:t>
            </w:r>
          </w:p>
          <w:p w14:paraId="6AA49E10"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Почетна вредност (2027): 0 национални ВИ модули и 0 обучени наставници.</w:t>
            </w:r>
          </w:p>
          <w:p w14:paraId="4850CCB0"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 xml:space="preserve">Преодна вредност (2028): 1 модул, 100 наставници и 2 материјали. </w:t>
            </w:r>
          </w:p>
          <w:p w14:paraId="5EC965F6" w14:textId="77777777" w:rsidR="00FE200F" w:rsidRDefault="00E77CAF">
            <w:pPr>
              <w:spacing w:line="216" w:lineRule="auto"/>
              <w:rPr>
                <w:rFonts w:ascii="Times New Roman" w:hAnsi="Times New Roman" w:cs="Times New Roman"/>
                <w:sz w:val="16"/>
                <w:szCs w:val="16"/>
                <w:lang w:val="mk-MK"/>
              </w:rPr>
            </w:pPr>
            <w:r>
              <w:rPr>
                <w:rFonts w:ascii="Times New Roman" w:eastAsia="Arial" w:hAnsi="Times New Roman" w:cs="Times New Roman"/>
                <w:sz w:val="16"/>
                <w:szCs w:val="16"/>
              </w:rPr>
              <w:t>Крајна вредност (2029): 1 модул, 200 наставници и 3</w:t>
            </w:r>
            <w:r>
              <w:rPr>
                <w:rFonts w:ascii="Times New Roman" w:eastAsia="Arial" w:hAnsi="Times New Roman" w:cs="Times New Roman"/>
                <w:sz w:val="16"/>
                <w:szCs w:val="16"/>
              </w:rPr>
              <w:t xml:space="preserve"> материјали.</w:t>
            </w:r>
          </w:p>
        </w:tc>
      </w:tr>
      <w:tr w:rsidR="00FE200F" w14:paraId="672E24B5" w14:textId="77777777">
        <w:trPr>
          <w:cantSplit/>
          <w:jc w:val="center"/>
        </w:trPr>
        <w:tc>
          <w:tcPr>
            <w:tcW w:w="1900" w:type="dxa"/>
            <w:vMerge/>
            <w:tcMar>
              <w:top w:w="50" w:type="dxa"/>
              <w:left w:w="55" w:type="dxa"/>
              <w:bottom w:w="50" w:type="dxa"/>
              <w:right w:w="55" w:type="dxa"/>
            </w:tcMar>
          </w:tcPr>
          <w:p w14:paraId="541F2981" w14:textId="77777777" w:rsidR="00FE200F" w:rsidRDefault="00FE200F">
            <w:pPr>
              <w:rPr>
                <w:rFonts w:ascii="Times New Roman" w:hAnsi="Times New Roman" w:cs="Times New Roman"/>
                <w:sz w:val="16"/>
                <w:szCs w:val="16"/>
              </w:rPr>
            </w:pPr>
          </w:p>
        </w:tc>
        <w:tc>
          <w:tcPr>
            <w:tcW w:w="3202" w:type="dxa"/>
            <w:vAlign w:val="center"/>
          </w:tcPr>
          <w:p w14:paraId="4A880C5C"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 xml:space="preserve">А3.1.1.2. Обука на 200 наставници </w:t>
            </w:r>
            <w:r>
              <w:rPr>
                <w:rFonts w:ascii="Times New Roman" w:eastAsia="Arial" w:hAnsi="Times New Roman" w:cs="Times New Roman"/>
                <w:sz w:val="16"/>
                <w:szCs w:val="16"/>
                <w:lang w:val="mk-MK"/>
              </w:rPr>
              <w:t>во основно и средно</w:t>
            </w:r>
            <w:r>
              <w:rPr>
                <w:rFonts w:ascii="Times New Roman" w:eastAsia="Arial" w:hAnsi="Times New Roman" w:cs="Times New Roman"/>
                <w:sz w:val="16"/>
                <w:szCs w:val="16"/>
              </w:rPr>
              <w:t xml:space="preserve"> за ВИ содржини</w:t>
            </w:r>
          </w:p>
        </w:tc>
        <w:tc>
          <w:tcPr>
            <w:tcW w:w="1899" w:type="dxa"/>
            <w:tcMar>
              <w:top w:w="50" w:type="dxa"/>
              <w:left w:w="55" w:type="dxa"/>
              <w:bottom w:w="50" w:type="dxa"/>
              <w:right w:w="55" w:type="dxa"/>
            </w:tcMar>
          </w:tcPr>
          <w:p w14:paraId="604EFEBC"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МОН; БО</w:t>
            </w:r>
            <w:r>
              <w:rPr>
                <w:rFonts w:ascii="Times New Roman" w:eastAsia="Arial" w:hAnsi="Times New Roman" w:cs="Times New Roman"/>
                <w:sz w:val="16"/>
                <w:szCs w:val="16"/>
                <w:lang w:val="mk-MK"/>
              </w:rPr>
              <w:t>Р</w:t>
            </w:r>
            <w:r>
              <w:rPr>
                <w:rFonts w:ascii="Times New Roman" w:eastAsia="Arial" w:hAnsi="Times New Roman" w:cs="Times New Roman"/>
                <w:sz w:val="16"/>
                <w:szCs w:val="16"/>
              </w:rPr>
              <w:t>; ФИНКИ, ФЕИТ и Економски факултет (ECCF), УКИМ</w:t>
            </w:r>
          </w:p>
        </w:tc>
        <w:tc>
          <w:tcPr>
            <w:tcW w:w="1152" w:type="dxa"/>
            <w:tcMar>
              <w:top w:w="50" w:type="dxa"/>
              <w:left w:w="55" w:type="dxa"/>
              <w:bottom w:w="50" w:type="dxa"/>
              <w:right w:w="55" w:type="dxa"/>
            </w:tcMar>
          </w:tcPr>
          <w:p w14:paraId="518F5FEB"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Q3 2027</w:t>
            </w:r>
          </w:p>
        </w:tc>
        <w:tc>
          <w:tcPr>
            <w:tcW w:w="1299" w:type="dxa"/>
            <w:tcMar>
              <w:top w:w="50" w:type="dxa"/>
              <w:left w:w="55" w:type="dxa"/>
              <w:bottom w:w="50" w:type="dxa"/>
              <w:right w:w="55" w:type="dxa"/>
            </w:tcMar>
          </w:tcPr>
          <w:p w14:paraId="045F8A40"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Q4 2029</w:t>
            </w:r>
          </w:p>
        </w:tc>
        <w:tc>
          <w:tcPr>
            <w:tcW w:w="1501" w:type="dxa"/>
            <w:tcMar>
              <w:top w:w="50" w:type="dxa"/>
              <w:left w:w="55" w:type="dxa"/>
              <w:bottom w:w="50" w:type="dxa"/>
              <w:right w:w="55" w:type="dxa"/>
            </w:tcMar>
          </w:tcPr>
          <w:p w14:paraId="60475E7D" w14:textId="7E9C436D" w:rsidR="00FE200F" w:rsidRDefault="00015530">
            <w:pPr>
              <w:spacing w:line="216" w:lineRule="auto"/>
              <w:rPr>
                <w:rFonts w:ascii="Times New Roman" w:hAnsi="Times New Roman" w:cs="Times New Roman"/>
                <w:sz w:val="16"/>
                <w:szCs w:val="16"/>
              </w:rPr>
            </w:pPr>
            <w:r>
              <w:rPr>
                <w:rFonts w:ascii="Times New Roman" w:eastAsia="Arial" w:hAnsi="Times New Roman" w:cs="Times New Roman"/>
                <w:sz w:val="16"/>
                <w:szCs w:val="16"/>
              </w:rPr>
              <w:t>3</w:t>
            </w:r>
            <w:r w:rsidR="00F418D6">
              <w:rPr>
                <w:rFonts w:ascii="Times New Roman" w:eastAsia="Arial" w:hAnsi="Times New Roman" w:cs="Times New Roman"/>
                <w:sz w:val="16"/>
                <w:szCs w:val="16"/>
              </w:rPr>
              <w:t>.000.000</w:t>
            </w:r>
          </w:p>
        </w:tc>
        <w:tc>
          <w:tcPr>
            <w:tcW w:w="1699" w:type="dxa"/>
            <w:tcMar>
              <w:top w:w="50" w:type="dxa"/>
              <w:left w:w="55" w:type="dxa"/>
              <w:bottom w:w="50" w:type="dxa"/>
              <w:right w:w="55" w:type="dxa"/>
            </w:tcMar>
          </w:tcPr>
          <w:p w14:paraId="2D00C5D1"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Буџет на РСМ</w:t>
            </w:r>
            <w:r>
              <w:rPr>
                <w:rFonts w:ascii="Times New Roman" w:hAnsi="Times New Roman" w:cs="Times New Roman"/>
                <w:sz w:val="16"/>
                <w:szCs w:val="16"/>
              </w:rPr>
              <w:br/>
            </w:r>
            <w:r>
              <w:rPr>
                <w:rFonts w:ascii="Times New Roman" w:eastAsia="Arial" w:hAnsi="Times New Roman" w:cs="Times New Roman"/>
                <w:sz w:val="16"/>
                <w:szCs w:val="16"/>
              </w:rPr>
              <w:t>Донатори</w:t>
            </w:r>
          </w:p>
        </w:tc>
        <w:tc>
          <w:tcPr>
            <w:tcW w:w="3346" w:type="dxa"/>
            <w:vMerge/>
            <w:tcMar>
              <w:top w:w="50" w:type="dxa"/>
              <w:left w:w="55" w:type="dxa"/>
              <w:bottom w:w="50" w:type="dxa"/>
              <w:right w:w="55" w:type="dxa"/>
            </w:tcMar>
          </w:tcPr>
          <w:p w14:paraId="11B1A5B1" w14:textId="77777777" w:rsidR="00FE200F" w:rsidRDefault="00FE200F">
            <w:pPr>
              <w:rPr>
                <w:rFonts w:ascii="Times New Roman" w:hAnsi="Times New Roman" w:cs="Times New Roman"/>
                <w:sz w:val="16"/>
                <w:szCs w:val="16"/>
              </w:rPr>
            </w:pPr>
          </w:p>
        </w:tc>
      </w:tr>
      <w:tr w:rsidR="00FE200F" w14:paraId="5B50AD56" w14:textId="77777777">
        <w:trPr>
          <w:cantSplit/>
          <w:jc w:val="center"/>
        </w:trPr>
        <w:tc>
          <w:tcPr>
            <w:tcW w:w="1900" w:type="dxa"/>
            <w:vMerge/>
            <w:tcMar>
              <w:top w:w="50" w:type="dxa"/>
              <w:left w:w="55" w:type="dxa"/>
              <w:bottom w:w="50" w:type="dxa"/>
              <w:right w:w="55" w:type="dxa"/>
            </w:tcMar>
          </w:tcPr>
          <w:p w14:paraId="70431070" w14:textId="77777777" w:rsidR="00FE200F" w:rsidRDefault="00FE200F">
            <w:pPr>
              <w:rPr>
                <w:rFonts w:ascii="Times New Roman" w:hAnsi="Times New Roman" w:cs="Times New Roman"/>
                <w:sz w:val="16"/>
                <w:szCs w:val="16"/>
              </w:rPr>
            </w:pPr>
          </w:p>
        </w:tc>
        <w:tc>
          <w:tcPr>
            <w:tcW w:w="3202" w:type="dxa"/>
            <w:vAlign w:val="center"/>
          </w:tcPr>
          <w:p w14:paraId="57DA8CFA" w14:textId="77777777" w:rsidR="00FE200F" w:rsidRDefault="00E77CAF">
            <w:pPr>
              <w:spacing w:line="216" w:lineRule="auto"/>
              <w:rPr>
                <w:rFonts w:ascii="Times New Roman" w:hAnsi="Times New Roman" w:cs="Times New Roman"/>
                <w:sz w:val="16"/>
                <w:szCs w:val="16"/>
                <w:lang w:val="mk-MK"/>
              </w:rPr>
            </w:pPr>
            <w:r>
              <w:rPr>
                <w:rFonts w:ascii="Times New Roman" w:eastAsia="Arial" w:hAnsi="Times New Roman" w:cs="Times New Roman"/>
                <w:sz w:val="16"/>
                <w:szCs w:val="16"/>
              </w:rPr>
              <w:t>А3.1.1.3. Развој на учебник и дидактички материјали на македонски</w:t>
            </w:r>
            <w:r>
              <w:rPr>
                <w:rFonts w:ascii="Times New Roman" w:eastAsia="Arial" w:hAnsi="Times New Roman" w:cs="Times New Roman"/>
                <w:sz w:val="16"/>
                <w:szCs w:val="16"/>
              </w:rPr>
              <w:t xml:space="preserve"> јазик за ВИ, вклучително и кратки насоки за употреба на генеративна ВИ во образованието. Насоките прават разлика меѓу учење за ВИ и употреба на ВИ што одлучува или значително влијае врз ученик; опфаќаат дозволена употреба од ученици и наставници, академск</w:t>
            </w:r>
            <w:r>
              <w:rPr>
                <w:rFonts w:ascii="Times New Roman" w:eastAsia="Arial" w:hAnsi="Times New Roman" w:cs="Times New Roman"/>
                <w:sz w:val="16"/>
                <w:szCs w:val="16"/>
              </w:rPr>
              <w:t>и интегритет, педагошка проверка, минимизирање на податоците, улогата на наставникот, информирање на учениците и родителите и човечка проверка кај значајни одлуки.</w:t>
            </w:r>
          </w:p>
        </w:tc>
        <w:tc>
          <w:tcPr>
            <w:tcW w:w="1899" w:type="dxa"/>
            <w:tcMar>
              <w:top w:w="50" w:type="dxa"/>
              <w:left w:w="55" w:type="dxa"/>
              <w:bottom w:w="50" w:type="dxa"/>
              <w:right w:w="55" w:type="dxa"/>
            </w:tcMar>
          </w:tcPr>
          <w:p w14:paraId="765F290F"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МОН; БО</w:t>
            </w:r>
            <w:r>
              <w:rPr>
                <w:rFonts w:ascii="Times New Roman" w:eastAsia="Arial" w:hAnsi="Times New Roman" w:cs="Times New Roman"/>
                <w:sz w:val="16"/>
                <w:szCs w:val="16"/>
                <w:lang w:val="mk-MK"/>
              </w:rPr>
              <w:t>Р</w:t>
            </w:r>
            <w:r>
              <w:rPr>
                <w:rFonts w:ascii="Times New Roman" w:eastAsia="Arial" w:hAnsi="Times New Roman" w:cs="Times New Roman"/>
                <w:sz w:val="16"/>
                <w:szCs w:val="16"/>
              </w:rPr>
              <w:t>; ФИНКИ, ФЕИТ и Економски факултет (ECCF), УКИМ</w:t>
            </w:r>
          </w:p>
        </w:tc>
        <w:tc>
          <w:tcPr>
            <w:tcW w:w="1152" w:type="dxa"/>
            <w:tcMar>
              <w:top w:w="50" w:type="dxa"/>
              <w:left w:w="55" w:type="dxa"/>
              <w:bottom w:w="50" w:type="dxa"/>
              <w:right w:w="55" w:type="dxa"/>
            </w:tcMar>
          </w:tcPr>
          <w:p w14:paraId="3BB72746"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Q3 2027</w:t>
            </w:r>
          </w:p>
        </w:tc>
        <w:tc>
          <w:tcPr>
            <w:tcW w:w="1299" w:type="dxa"/>
            <w:tcMar>
              <w:top w:w="50" w:type="dxa"/>
              <w:left w:w="55" w:type="dxa"/>
              <w:bottom w:w="50" w:type="dxa"/>
              <w:right w:w="55" w:type="dxa"/>
            </w:tcMar>
          </w:tcPr>
          <w:p w14:paraId="7C6A87CF"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Q4 2029</w:t>
            </w:r>
          </w:p>
        </w:tc>
        <w:tc>
          <w:tcPr>
            <w:tcW w:w="1501" w:type="dxa"/>
            <w:tcMar>
              <w:top w:w="50" w:type="dxa"/>
              <w:left w:w="55" w:type="dxa"/>
              <w:bottom w:w="50" w:type="dxa"/>
              <w:right w:w="55" w:type="dxa"/>
            </w:tcMar>
          </w:tcPr>
          <w:p w14:paraId="1DE9192C" w14:textId="4786B32E" w:rsidR="00FE200F" w:rsidRDefault="00015530">
            <w:pPr>
              <w:spacing w:line="216" w:lineRule="auto"/>
              <w:rPr>
                <w:rFonts w:ascii="Times New Roman" w:hAnsi="Times New Roman" w:cs="Times New Roman"/>
                <w:sz w:val="16"/>
                <w:szCs w:val="16"/>
              </w:rPr>
            </w:pPr>
            <w:r>
              <w:rPr>
                <w:rFonts w:ascii="Times New Roman" w:eastAsia="Arial" w:hAnsi="Times New Roman" w:cs="Times New Roman"/>
                <w:sz w:val="16"/>
                <w:szCs w:val="16"/>
              </w:rPr>
              <w:t>2.000.000</w:t>
            </w:r>
          </w:p>
        </w:tc>
        <w:tc>
          <w:tcPr>
            <w:tcW w:w="1699" w:type="dxa"/>
            <w:tcMar>
              <w:top w:w="50" w:type="dxa"/>
              <w:left w:w="55" w:type="dxa"/>
              <w:bottom w:w="50" w:type="dxa"/>
              <w:right w:w="55" w:type="dxa"/>
            </w:tcMar>
          </w:tcPr>
          <w:p w14:paraId="127761F6"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Буџет на Р</w:t>
            </w:r>
            <w:r>
              <w:rPr>
                <w:rFonts w:ascii="Times New Roman" w:eastAsia="Arial" w:hAnsi="Times New Roman" w:cs="Times New Roman"/>
                <w:sz w:val="16"/>
                <w:szCs w:val="16"/>
              </w:rPr>
              <w:t>СМ</w:t>
            </w:r>
            <w:r>
              <w:rPr>
                <w:rFonts w:ascii="Times New Roman" w:hAnsi="Times New Roman" w:cs="Times New Roman"/>
                <w:sz w:val="16"/>
                <w:szCs w:val="16"/>
              </w:rPr>
              <w:br/>
            </w:r>
            <w:r>
              <w:rPr>
                <w:rFonts w:ascii="Times New Roman" w:eastAsia="Arial" w:hAnsi="Times New Roman" w:cs="Times New Roman"/>
                <w:sz w:val="16"/>
                <w:szCs w:val="16"/>
              </w:rPr>
              <w:t>Донатори</w:t>
            </w:r>
          </w:p>
        </w:tc>
        <w:tc>
          <w:tcPr>
            <w:tcW w:w="3346" w:type="dxa"/>
            <w:vMerge/>
            <w:tcMar>
              <w:top w:w="50" w:type="dxa"/>
              <w:left w:w="55" w:type="dxa"/>
              <w:bottom w:w="50" w:type="dxa"/>
              <w:right w:w="55" w:type="dxa"/>
            </w:tcMar>
          </w:tcPr>
          <w:p w14:paraId="08F5DDF5" w14:textId="77777777" w:rsidR="00FE200F" w:rsidRDefault="00FE200F">
            <w:pPr>
              <w:rPr>
                <w:rFonts w:ascii="Times New Roman" w:hAnsi="Times New Roman" w:cs="Times New Roman"/>
                <w:sz w:val="16"/>
                <w:szCs w:val="16"/>
              </w:rPr>
            </w:pPr>
          </w:p>
        </w:tc>
      </w:tr>
      <w:tr w:rsidR="00FE200F" w14:paraId="70808AEF" w14:textId="77777777">
        <w:trPr>
          <w:cantSplit/>
          <w:jc w:val="center"/>
        </w:trPr>
        <w:tc>
          <w:tcPr>
            <w:tcW w:w="1900" w:type="dxa"/>
            <w:vMerge w:val="restart"/>
            <w:vAlign w:val="center"/>
          </w:tcPr>
          <w:p w14:paraId="411691F6"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b/>
                <w:sz w:val="16"/>
                <w:szCs w:val="16"/>
              </w:rPr>
              <w:t>М3.1.2. Стипендии за студенти на ВИ програми</w:t>
            </w:r>
          </w:p>
        </w:tc>
        <w:tc>
          <w:tcPr>
            <w:tcW w:w="3202" w:type="dxa"/>
            <w:vAlign w:val="center"/>
          </w:tcPr>
          <w:p w14:paraId="19EA5C6B"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А3.1.2.1 Доделување на 50 стипендии за додипломски и постдипломски студии по ВИ/ML</w:t>
            </w:r>
          </w:p>
        </w:tc>
        <w:tc>
          <w:tcPr>
            <w:tcW w:w="1899" w:type="dxa"/>
            <w:vAlign w:val="center"/>
          </w:tcPr>
          <w:p w14:paraId="4EE82460"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МОН</w:t>
            </w:r>
          </w:p>
        </w:tc>
        <w:tc>
          <w:tcPr>
            <w:tcW w:w="1152" w:type="dxa"/>
            <w:vAlign w:val="center"/>
          </w:tcPr>
          <w:p w14:paraId="3AC856DC"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Q3 2027</w:t>
            </w:r>
          </w:p>
        </w:tc>
        <w:tc>
          <w:tcPr>
            <w:tcW w:w="1299" w:type="dxa"/>
            <w:vAlign w:val="center"/>
          </w:tcPr>
          <w:p w14:paraId="32B9038C"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Q4 2029</w:t>
            </w:r>
          </w:p>
        </w:tc>
        <w:tc>
          <w:tcPr>
            <w:tcW w:w="1501" w:type="dxa"/>
            <w:vAlign w:val="center"/>
          </w:tcPr>
          <w:p w14:paraId="7EC9F297" w14:textId="38E4E247" w:rsidR="00FE200F" w:rsidRDefault="00015530">
            <w:pPr>
              <w:spacing w:line="216" w:lineRule="auto"/>
              <w:rPr>
                <w:rFonts w:ascii="Times New Roman" w:hAnsi="Times New Roman" w:cs="Times New Roman"/>
                <w:sz w:val="16"/>
                <w:szCs w:val="16"/>
              </w:rPr>
            </w:pPr>
            <w:r>
              <w:rPr>
                <w:rFonts w:ascii="Times New Roman" w:eastAsia="Arial" w:hAnsi="Times New Roman" w:cs="Times New Roman"/>
                <w:sz w:val="16"/>
                <w:szCs w:val="16"/>
              </w:rPr>
              <w:t>4.500.000</w:t>
            </w:r>
          </w:p>
        </w:tc>
        <w:tc>
          <w:tcPr>
            <w:tcW w:w="1699" w:type="dxa"/>
            <w:vAlign w:val="center"/>
          </w:tcPr>
          <w:p w14:paraId="246C77CE"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Буџет на РСМ</w:t>
            </w:r>
          </w:p>
        </w:tc>
        <w:tc>
          <w:tcPr>
            <w:tcW w:w="3346" w:type="dxa"/>
            <w:vMerge w:val="restart"/>
            <w:tcMar>
              <w:top w:w="35" w:type="dxa"/>
              <w:left w:w="45" w:type="dxa"/>
              <w:bottom w:w="35" w:type="dxa"/>
              <w:right w:w="45" w:type="dxa"/>
            </w:tcMar>
            <w:vAlign w:val="center"/>
          </w:tcPr>
          <w:p w14:paraId="703CD15B"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Показател на резултат: Стипендисти и задржани ВИ таленти.</w:t>
            </w:r>
          </w:p>
          <w:p w14:paraId="683880C0"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 xml:space="preserve">Почетна </w:t>
            </w:r>
            <w:r>
              <w:rPr>
                <w:rFonts w:ascii="Times New Roman" w:eastAsia="Arial" w:hAnsi="Times New Roman" w:cs="Times New Roman"/>
                <w:sz w:val="16"/>
                <w:szCs w:val="16"/>
              </w:rPr>
              <w:t>вредност (2027): 0 стипендии во наменската програма.</w:t>
            </w:r>
          </w:p>
          <w:p w14:paraId="5AB026C8"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 xml:space="preserve">Преодна вредност (2028): 25 доделени стипендии и најмалку 35% задржани таленти. </w:t>
            </w:r>
          </w:p>
          <w:p w14:paraId="32CCA91D" w14:textId="77777777" w:rsidR="00FE200F" w:rsidRDefault="00E77CAF">
            <w:pPr>
              <w:spacing w:line="216" w:lineRule="auto"/>
              <w:rPr>
                <w:rFonts w:ascii="Times New Roman" w:hAnsi="Times New Roman" w:cs="Times New Roman"/>
                <w:sz w:val="16"/>
                <w:szCs w:val="16"/>
                <w:lang w:val="mk-MK"/>
              </w:rPr>
            </w:pPr>
            <w:r>
              <w:rPr>
                <w:rFonts w:ascii="Times New Roman" w:eastAsia="Arial" w:hAnsi="Times New Roman" w:cs="Times New Roman"/>
                <w:sz w:val="16"/>
                <w:szCs w:val="16"/>
              </w:rPr>
              <w:t>Крајна вредност (2029): 50 доделени стипендии и најмалку 70% задржани таленти.</w:t>
            </w:r>
          </w:p>
        </w:tc>
      </w:tr>
      <w:tr w:rsidR="00FE200F" w14:paraId="1F62A7A3" w14:textId="77777777">
        <w:trPr>
          <w:cantSplit/>
          <w:jc w:val="center"/>
        </w:trPr>
        <w:tc>
          <w:tcPr>
            <w:tcW w:w="1900" w:type="dxa"/>
            <w:vMerge/>
            <w:tcMar>
              <w:top w:w="50" w:type="dxa"/>
              <w:left w:w="55" w:type="dxa"/>
              <w:bottom w:w="50" w:type="dxa"/>
              <w:right w:w="55" w:type="dxa"/>
            </w:tcMar>
          </w:tcPr>
          <w:p w14:paraId="0E5EE505" w14:textId="77777777" w:rsidR="00FE200F" w:rsidRDefault="00FE200F">
            <w:pPr>
              <w:rPr>
                <w:rFonts w:ascii="Times New Roman" w:hAnsi="Times New Roman" w:cs="Times New Roman"/>
                <w:sz w:val="16"/>
                <w:szCs w:val="16"/>
              </w:rPr>
            </w:pPr>
          </w:p>
        </w:tc>
        <w:tc>
          <w:tcPr>
            <w:tcW w:w="3202" w:type="dxa"/>
            <w:vAlign w:val="center"/>
          </w:tcPr>
          <w:p w14:paraId="69849D66"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А3.1.2.2. Програма за задржување на тален</w:t>
            </w:r>
            <w:r>
              <w:rPr>
                <w:rFonts w:ascii="Times New Roman" w:eastAsia="Arial" w:hAnsi="Times New Roman" w:cs="Times New Roman"/>
                <w:sz w:val="16"/>
                <w:szCs w:val="16"/>
              </w:rPr>
              <w:t>ти (return fellowships)</w:t>
            </w:r>
          </w:p>
        </w:tc>
        <w:tc>
          <w:tcPr>
            <w:tcW w:w="1899" w:type="dxa"/>
            <w:tcMar>
              <w:top w:w="50" w:type="dxa"/>
              <w:left w:w="55" w:type="dxa"/>
              <w:bottom w:w="50" w:type="dxa"/>
              <w:right w:w="55" w:type="dxa"/>
            </w:tcMar>
          </w:tcPr>
          <w:p w14:paraId="1F972ED1"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МОН</w:t>
            </w:r>
          </w:p>
        </w:tc>
        <w:tc>
          <w:tcPr>
            <w:tcW w:w="1152" w:type="dxa"/>
            <w:tcMar>
              <w:top w:w="50" w:type="dxa"/>
              <w:left w:w="55" w:type="dxa"/>
              <w:bottom w:w="50" w:type="dxa"/>
              <w:right w:w="55" w:type="dxa"/>
            </w:tcMar>
          </w:tcPr>
          <w:p w14:paraId="05EBDCD3"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Q3 2027</w:t>
            </w:r>
          </w:p>
        </w:tc>
        <w:tc>
          <w:tcPr>
            <w:tcW w:w="1299" w:type="dxa"/>
            <w:tcMar>
              <w:top w:w="50" w:type="dxa"/>
              <w:left w:w="55" w:type="dxa"/>
              <w:bottom w:w="50" w:type="dxa"/>
              <w:right w:w="55" w:type="dxa"/>
            </w:tcMar>
          </w:tcPr>
          <w:p w14:paraId="44833669"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Q4 2029</w:t>
            </w:r>
          </w:p>
        </w:tc>
        <w:tc>
          <w:tcPr>
            <w:tcW w:w="1501" w:type="dxa"/>
            <w:tcMar>
              <w:top w:w="50" w:type="dxa"/>
              <w:left w:w="55" w:type="dxa"/>
              <w:bottom w:w="50" w:type="dxa"/>
              <w:right w:w="55" w:type="dxa"/>
            </w:tcMar>
          </w:tcPr>
          <w:p w14:paraId="78CB36FA" w14:textId="52DA7C1F" w:rsidR="00FE200F" w:rsidRDefault="00015530">
            <w:pPr>
              <w:spacing w:line="216" w:lineRule="auto"/>
              <w:rPr>
                <w:rFonts w:ascii="Times New Roman" w:hAnsi="Times New Roman" w:cs="Times New Roman"/>
                <w:sz w:val="16"/>
                <w:szCs w:val="16"/>
              </w:rPr>
            </w:pPr>
            <w:r>
              <w:rPr>
                <w:rFonts w:ascii="Times New Roman" w:eastAsia="Arial" w:hAnsi="Times New Roman" w:cs="Times New Roman"/>
                <w:sz w:val="16"/>
                <w:szCs w:val="16"/>
              </w:rPr>
              <w:t>4.500.000</w:t>
            </w:r>
          </w:p>
        </w:tc>
        <w:tc>
          <w:tcPr>
            <w:tcW w:w="1699" w:type="dxa"/>
            <w:tcMar>
              <w:top w:w="50" w:type="dxa"/>
              <w:left w:w="55" w:type="dxa"/>
              <w:bottom w:w="50" w:type="dxa"/>
              <w:right w:w="55" w:type="dxa"/>
            </w:tcMar>
          </w:tcPr>
          <w:p w14:paraId="2709170C"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Буџет на РСМ</w:t>
            </w:r>
          </w:p>
        </w:tc>
        <w:tc>
          <w:tcPr>
            <w:tcW w:w="3346" w:type="dxa"/>
            <w:vMerge/>
            <w:tcMar>
              <w:top w:w="50" w:type="dxa"/>
              <w:left w:w="55" w:type="dxa"/>
              <w:bottom w:w="50" w:type="dxa"/>
              <w:right w:w="55" w:type="dxa"/>
            </w:tcMar>
          </w:tcPr>
          <w:p w14:paraId="22C5F55D" w14:textId="77777777" w:rsidR="00FE200F" w:rsidRDefault="00FE200F">
            <w:pPr>
              <w:rPr>
                <w:rFonts w:ascii="Times New Roman" w:hAnsi="Times New Roman" w:cs="Times New Roman"/>
                <w:sz w:val="16"/>
                <w:szCs w:val="16"/>
              </w:rPr>
            </w:pPr>
          </w:p>
        </w:tc>
      </w:tr>
      <w:tr w:rsidR="00FE200F" w14:paraId="1F11E209" w14:textId="77777777">
        <w:trPr>
          <w:cantSplit/>
          <w:jc w:val="center"/>
        </w:trPr>
        <w:tc>
          <w:tcPr>
            <w:tcW w:w="8153" w:type="dxa"/>
            <w:gridSpan w:val="4"/>
            <w:shd w:val="clear" w:color="auto" w:fill="E7E6E6"/>
            <w:vAlign w:val="center"/>
          </w:tcPr>
          <w:p w14:paraId="26C5CA32"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b/>
                <w:sz w:val="16"/>
                <w:szCs w:val="16"/>
              </w:rPr>
              <w:lastRenderedPageBreak/>
              <w:t>Посебна цел 3.2. ВИ истражување, македонски јазични модели и меѓународна соработка</w:t>
            </w:r>
          </w:p>
        </w:tc>
        <w:tc>
          <w:tcPr>
            <w:tcW w:w="7845" w:type="dxa"/>
            <w:gridSpan w:val="4"/>
            <w:shd w:val="clear" w:color="auto" w:fill="F2F2F2"/>
            <w:vAlign w:val="center"/>
          </w:tcPr>
          <w:p w14:paraId="0CEA9990"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 xml:space="preserve">ПОКАЗАТЕЛ НА ИСХОД: Поддржани ВИ истражувања, достапни македонски јазични ресурси и отворен ВИ </w:t>
            </w:r>
            <w:r>
              <w:rPr>
                <w:rFonts w:ascii="Times New Roman" w:eastAsia="Arial" w:hAnsi="Times New Roman" w:cs="Times New Roman"/>
                <w:sz w:val="16"/>
                <w:szCs w:val="16"/>
              </w:rPr>
              <w:t xml:space="preserve">модел.Почетна вредност (2027): 0 поддржани проекти; нема куриран корпус или објавен модел.Преодна вредност (2028): најмалку 2 истражувачки проекти; 5 GB куриран корпус и објавен отворен модел. Крајна вредност (2029): најмалку 5 истражувачки проекти; 10 GB </w:t>
            </w:r>
            <w:r>
              <w:rPr>
                <w:rFonts w:ascii="Times New Roman" w:eastAsia="Arial" w:hAnsi="Times New Roman" w:cs="Times New Roman"/>
                <w:sz w:val="16"/>
                <w:szCs w:val="16"/>
              </w:rPr>
              <w:t>куриран корпус и објавен отворен модел.</w:t>
            </w:r>
          </w:p>
        </w:tc>
      </w:tr>
      <w:tr w:rsidR="00FE200F" w14:paraId="4FCE8C7E" w14:textId="77777777">
        <w:trPr>
          <w:cantSplit/>
          <w:jc w:val="center"/>
        </w:trPr>
        <w:tc>
          <w:tcPr>
            <w:tcW w:w="1900" w:type="dxa"/>
            <w:vMerge w:val="restart"/>
            <w:vAlign w:val="center"/>
          </w:tcPr>
          <w:p w14:paraId="0C193A01"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b/>
                <w:sz w:val="16"/>
                <w:szCs w:val="16"/>
              </w:rPr>
              <w:t>М3.2.1. Финансирање на ВИ истражувачки проекти</w:t>
            </w:r>
          </w:p>
        </w:tc>
        <w:tc>
          <w:tcPr>
            <w:tcW w:w="3202" w:type="dxa"/>
            <w:vAlign w:val="center"/>
          </w:tcPr>
          <w:p w14:paraId="3ED2FDD2"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А3.2.1.1 Објавување на годишен повик за финансирање на ВИ истражувања (до 100.000 EUR по проект)</w:t>
            </w:r>
          </w:p>
        </w:tc>
        <w:tc>
          <w:tcPr>
            <w:tcW w:w="1899" w:type="dxa"/>
            <w:vAlign w:val="center"/>
          </w:tcPr>
          <w:p w14:paraId="3F6049BD"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 ИНОВА; МАНУ; ФИНКИ, ФЕИТ и Економски факултет (ECCF), УКИМ</w:t>
            </w:r>
          </w:p>
        </w:tc>
        <w:tc>
          <w:tcPr>
            <w:tcW w:w="1152" w:type="dxa"/>
            <w:vAlign w:val="center"/>
          </w:tcPr>
          <w:p w14:paraId="6BF9B970"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Q1 2028</w:t>
            </w:r>
          </w:p>
        </w:tc>
        <w:tc>
          <w:tcPr>
            <w:tcW w:w="1299" w:type="dxa"/>
            <w:vAlign w:val="center"/>
          </w:tcPr>
          <w:p w14:paraId="664BFF76"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Q4</w:t>
            </w:r>
            <w:r>
              <w:rPr>
                <w:rFonts w:ascii="Times New Roman" w:eastAsia="Arial" w:hAnsi="Times New Roman" w:cs="Times New Roman"/>
                <w:sz w:val="16"/>
                <w:szCs w:val="16"/>
              </w:rPr>
              <w:t xml:space="preserve"> 2029</w:t>
            </w:r>
          </w:p>
        </w:tc>
        <w:tc>
          <w:tcPr>
            <w:tcW w:w="1501" w:type="dxa"/>
            <w:vAlign w:val="center"/>
          </w:tcPr>
          <w:p w14:paraId="0C9442CA" w14:textId="1AA33218" w:rsidR="00FE200F" w:rsidRDefault="00015530">
            <w:pPr>
              <w:spacing w:line="216" w:lineRule="auto"/>
              <w:rPr>
                <w:rFonts w:ascii="Times New Roman" w:hAnsi="Times New Roman" w:cs="Times New Roman"/>
                <w:sz w:val="16"/>
                <w:szCs w:val="16"/>
              </w:rPr>
            </w:pPr>
            <w:r>
              <w:rPr>
                <w:rFonts w:ascii="Times New Roman" w:eastAsia="Arial" w:hAnsi="Times New Roman" w:cs="Times New Roman"/>
                <w:sz w:val="16"/>
                <w:szCs w:val="16"/>
              </w:rPr>
              <w:t>15.000.000</w:t>
            </w:r>
          </w:p>
        </w:tc>
        <w:tc>
          <w:tcPr>
            <w:tcW w:w="1699" w:type="dxa"/>
            <w:vAlign w:val="center"/>
          </w:tcPr>
          <w:p w14:paraId="2ED2E898"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ИПА III</w:t>
            </w:r>
            <w:r>
              <w:rPr>
                <w:rFonts w:ascii="Times New Roman" w:hAnsi="Times New Roman" w:cs="Times New Roman"/>
                <w:sz w:val="16"/>
                <w:szCs w:val="16"/>
              </w:rPr>
              <w:br/>
            </w:r>
            <w:r>
              <w:rPr>
                <w:rFonts w:ascii="Times New Roman" w:eastAsia="Arial" w:hAnsi="Times New Roman" w:cs="Times New Roman"/>
                <w:sz w:val="16"/>
                <w:szCs w:val="16"/>
              </w:rPr>
              <w:t>Horizon Europe</w:t>
            </w:r>
            <w:r>
              <w:rPr>
                <w:rFonts w:ascii="Times New Roman" w:hAnsi="Times New Roman" w:cs="Times New Roman"/>
                <w:sz w:val="16"/>
                <w:szCs w:val="16"/>
              </w:rPr>
              <w:br/>
            </w:r>
            <w:r>
              <w:rPr>
                <w:rFonts w:ascii="Times New Roman" w:eastAsia="Arial" w:hAnsi="Times New Roman" w:cs="Times New Roman"/>
                <w:sz w:val="16"/>
                <w:szCs w:val="16"/>
              </w:rPr>
              <w:t>Буџет на РСМ</w:t>
            </w:r>
          </w:p>
        </w:tc>
        <w:tc>
          <w:tcPr>
            <w:tcW w:w="3346" w:type="dxa"/>
            <w:vMerge w:val="restart"/>
            <w:tcMar>
              <w:top w:w="35" w:type="dxa"/>
              <w:left w:w="45" w:type="dxa"/>
              <w:bottom w:w="35" w:type="dxa"/>
              <w:right w:w="45" w:type="dxa"/>
            </w:tcMar>
            <w:vAlign w:val="center"/>
          </w:tcPr>
          <w:p w14:paraId="6C31E54F"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Показател на резултат: Финансирани ВИ истражувања и меѓународни пријави.</w:t>
            </w:r>
          </w:p>
          <w:p w14:paraId="5136FC96"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Почетна вредност (2027): 0 финансирани проекти и 0 Horizon Europe пријави.</w:t>
            </w:r>
          </w:p>
          <w:p w14:paraId="4584EE1E"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 xml:space="preserve">Преодна вредност (2028): 3 пријави и 5 публикации. </w:t>
            </w:r>
          </w:p>
          <w:p w14:paraId="17AFD6C2" w14:textId="77777777" w:rsidR="00FE200F" w:rsidRDefault="00E77CAF">
            <w:pPr>
              <w:spacing w:line="216" w:lineRule="auto"/>
              <w:rPr>
                <w:rFonts w:ascii="Times New Roman" w:hAnsi="Times New Roman" w:cs="Times New Roman"/>
                <w:sz w:val="16"/>
                <w:szCs w:val="16"/>
                <w:lang w:val="mk-MK"/>
              </w:rPr>
            </w:pPr>
            <w:r>
              <w:rPr>
                <w:rFonts w:ascii="Times New Roman" w:eastAsia="Arial" w:hAnsi="Times New Roman" w:cs="Times New Roman"/>
                <w:sz w:val="16"/>
                <w:szCs w:val="16"/>
              </w:rPr>
              <w:t>Кра</w:t>
            </w:r>
            <w:r>
              <w:rPr>
                <w:rFonts w:ascii="Times New Roman" w:eastAsia="Arial" w:hAnsi="Times New Roman" w:cs="Times New Roman"/>
                <w:sz w:val="16"/>
                <w:szCs w:val="16"/>
              </w:rPr>
              <w:t>јна вредност (2029): 6 пријави и 10 публикации.</w:t>
            </w:r>
          </w:p>
        </w:tc>
      </w:tr>
      <w:tr w:rsidR="00FE200F" w14:paraId="32AAB104" w14:textId="77777777">
        <w:trPr>
          <w:cantSplit/>
          <w:jc w:val="center"/>
        </w:trPr>
        <w:tc>
          <w:tcPr>
            <w:tcW w:w="1900" w:type="dxa"/>
            <w:vMerge/>
            <w:tcMar>
              <w:top w:w="50" w:type="dxa"/>
              <w:left w:w="55" w:type="dxa"/>
              <w:bottom w:w="50" w:type="dxa"/>
              <w:right w:w="55" w:type="dxa"/>
            </w:tcMar>
          </w:tcPr>
          <w:p w14:paraId="41F0AA92" w14:textId="77777777" w:rsidR="00FE200F" w:rsidRDefault="00FE200F">
            <w:pPr>
              <w:rPr>
                <w:rFonts w:ascii="Times New Roman" w:hAnsi="Times New Roman" w:cs="Times New Roman"/>
                <w:sz w:val="16"/>
                <w:szCs w:val="16"/>
              </w:rPr>
            </w:pPr>
          </w:p>
        </w:tc>
        <w:tc>
          <w:tcPr>
            <w:tcW w:w="3202" w:type="dxa"/>
            <w:vAlign w:val="center"/>
          </w:tcPr>
          <w:p w14:paraId="48CC72FD"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А3.2.1.2. Поддршка за аплицирање во Horizon Europe (Cluster 4: Digital)</w:t>
            </w:r>
          </w:p>
        </w:tc>
        <w:tc>
          <w:tcPr>
            <w:tcW w:w="1899" w:type="dxa"/>
            <w:tcMar>
              <w:top w:w="50" w:type="dxa"/>
              <w:left w:w="55" w:type="dxa"/>
              <w:bottom w:w="50" w:type="dxa"/>
              <w:right w:w="55" w:type="dxa"/>
            </w:tcMar>
          </w:tcPr>
          <w:p w14:paraId="6664267B"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 xml:space="preserve"> ИНОВА; МАНУ; ФИНКИ, ФЕИТ и Економски факултет (ECCF), УКИМ</w:t>
            </w:r>
          </w:p>
        </w:tc>
        <w:tc>
          <w:tcPr>
            <w:tcW w:w="1152" w:type="dxa"/>
            <w:tcMar>
              <w:top w:w="50" w:type="dxa"/>
              <w:left w:w="55" w:type="dxa"/>
              <w:bottom w:w="50" w:type="dxa"/>
              <w:right w:w="55" w:type="dxa"/>
            </w:tcMar>
          </w:tcPr>
          <w:p w14:paraId="2B251CF8"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Q1 2028</w:t>
            </w:r>
          </w:p>
        </w:tc>
        <w:tc>
          <w:tcPr>
            <w:tcW w:w="1299" w:type="dxa"/>
            <w:tcMar>
              <w:top w:w="50" w:type="dxa"/>
              <w:left w:w="55" w:type="dxa"/>
              <w:bottom w:w="50" w:type="dxa"/>
              <w:right w:w="55" w:type="dxa"/>
            </w:tcMar>
          </w:tcPr>
          <w:p w14:paraId="49D5193B"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Q4 2029</w:t>
            </w:r>
          </w:p>
        </w:tc>
        <w:tc>
          <w:tcPr>
            <w:tcW w:w="1501" w:type="dxa"/>
            <w:tcMar>
              <w:top w:w="50" w:type="dxa"/>
              <w:left w:w="55" w:type="dxa"/>
              <w:bottom w:w="50" w:type="dxa"/>
              <w:right w:w="55" w:type="dxa"/>
            </w:tcMar>
          </w:tcPr>
          <w:p w14:paraId="0F35BCAF" w14:textId="47929F78" w:rsidR="00FE200F" w:rsidRDefault="00015530">
            <w:pPr>
              <w:spacing w:line="216" w:lineRule="auto"/>
              <w:rPr>
                <w:rFonts w:ascii="Times New Roman" w:hAnsi="Times New Roman" w:cs="Times New Roman"/>
                <w:sz w:val="16"/>
                <w:szCs w:val="16"/>
              </w:rPr>
            </w:pPr>
            <w:r>
              <w:rPr>
                <w:rFonts w:ascii="Times New Roman" w:eastAsia="Arial" w:hAnsi="Times New Roman" w:cs="Times New Roman"/>
                <w:sz w:val="16"/>
                <w:szCs w:val="16"/>
              </w:rPr>
              <w:t>5.000.000</w:t>
            </w:r>
          </w:p>
        </w:tc>
        <w:tc>
          <w:tcPr>
            <w:tcW w:w="1699" w:type="dxa"/>
            <w:tcMar>
              <w:top w:w="50" w:type="dxa"/>
              <w:left w:w="55" w:type="dxa"/>
              <w:bottom w:w="50" w:type="dxa"/>
              <w:right w:w="55" w:type="dxa"/>
            </w:tcMar>
          </w:tcPr>
          <w:p w14:paraId="1B944DA8"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ИПА III</w:t>
            </w:r>
            <w:r>
              <w:rPr>
                <w:rFonts w:ascii="Times New Roman" w:hAnsi="Times New Roman" w:cs="Times New Roman"/>
                <w:sz w:val="16"/>
                <w:szCs w:val="16"/>
              </w:rPr>
              <w:br/>
            </w:r>
            <w:r>
              <w:rPr>
                <w:rFonts w:ascii="Times New Roman" w:eastAsia="Arial" w:hAnsi="Times New Roman" w:cs="Times New Roman"/>
                <w:sz w:val="16"/>
                <w:szCs w:val="16"/>
              </w:rPr>
              <w:t>Horizon Europe</w:t>
            </w:r>
            <w:r>
              <w:rPr>
                <w:rFonts w:ascii="Times New Roman" w:hAnsi="Times New Roman" w:cs="Times New Roman"/>
                <w:sz w:val="16"/>
                <w:szCs w:val="16"/>
              </w:rPr>
              <w:br/>
            </w:r>
            <w:r>
              <w:rPr>
                <w:rFonts w:ascii="Times New Roman" w:eastAsia="Arial" w:hAnsi="Times New Roman" w:cs="Times New Roman"/>
                <w:sz w:val="16"/>
                <w:szCs w:val="16"/>
              </w:rPr>
              <w:t>Буџет на РСМ</w:t>
            </w:r>
          </w:p>
        </w:tc>
        <w:tc>
          <w:tcPr>
            <w:tcW w:w="3346" w:type="dxa"/>
            <w:vMerge/>
            <w:tcMar>
              <w:top w:w="50" w:type="dxa"/>
              <w:left w:w="55" w:type="dxa"/>
              <w:bottom w:w="50" w:type="dxa"/>
              <w:right w:w="55" w:type="dxa"/>
            </w:tcMar>
          </w:tcPr>
          <w:p w14:paraId="2373F5D5" w14:textId="77777777" w:rsidR="00FE200F" w:rsidRDefault="00FE200F">
            <w:pPr>
              <w:rPr>
                <w:rFonts w:ascii="Times New Roman" w:hAnsi="Times New Roman" w:cs="Times New Roman"/>
                <w:sz w:val="16"/>
                <w:szCs w:val="16"/>
              </w:rPr>
            </w:pPr>
          </w:p>
        </w:tc>
      </w:tr>
      <w:tr w:rsidR="00FE200F" w14:paraId="12104FEA" w14:textId="77777777">
        <w:trPr>
          <w:cantSplit/>
          <w:jc w:val="center"/>
        </w:trPr>
        <w:tc>
          <w:tcPr>
            <w:tcW w:w="1900" w:type="dxa"/>
            <w:vMerge/>
            <w:tcMar>
              <w:top w:w="50" w:type="dxa"/>
              <w:left w:w="55" w:type="dxa"/>
              <w:bottom w:w="50" w:type="dxa"/>
              <w:right w:w="55" w:type="dxa"/>
            </w:tcMar>
          </w:tcPr>
          <w:p w14:paraId="5955A89D" w14:textId="77777777" w:rsidR="00FE200F" w:rsidRDefault="00FE200F">
            <w:pPr>
              <w:rPr>
                <w:rFonts w:ascii="Times New Roman" w:hAnsi="Times New Roman" w:cs="Times New Roman"/>
                <w:sz w:val="16"/>
                <w:szCs w:val="16"/>
              </w:rPr>
            </w:pPr>
          </w:p>
        </w:tc>
        <w:tc>
          <w:tcPr>
            <w:tcW w:w="3202" w:type="dxa"/>
            <w:vAlign w:val="center"/>
          </w:tcPr>
          <w:p w14:paraId="463277C9"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А3.2.1.3.</w:t>
            </w:r>
            <w:r>
              <w:rPr>
                <w:rFonts w:ascii="Times New Roman" w:eastAsia="Arial" w:hAnsi="Times New Roman" w:cs="Times New Roman"/>
                <w:sz w:val="16"/>
                <w:szCs w:val="16"/>
              </w:rPr>
              <w:t xml:space="preserve"> Воспоставување на истражувачки партнерства, вклучително и мапирање на соодветни национални репозиториуми за истражувачки податоци и применливи принципи за пронаѓање, достапност, интероперабилност и повторна употреба на истражувачките ресурси. Ако се потвр</w:t>
            </w:r>
            <w:r>
              <w:rPr>
                <w:rFonts w:ascii="Times New Roman" w:eastAsia="Arial" w:hAnsi="Times New Roman" w:cs="Times New Roman"/>
                <w:sz w:val="16"/>
                <w:szCs w:val="16"/>
              </w:rPr>
              <w:t>дени условите за пристап, законитост, безбедност и финансирање, може да се спроведе едно тест-поврзување со релевантна меѓународна услуга за истражувачки податоци, без воспоставување паралелна национална платформа.</w:t>
            </w:r>
          </w:p>
        </w:tc>
        <w:tc>
          <w:tcPr>
            <w:tcW w:w="1899" w:type="dxa"/>
            <w:tcMar>
              <w:top w:w="50" w:type="dxa"/>
              <w:left w:w="55" w:type="dxa"/>
              <w:bottom w:w="50" w:type="dxa"/>
              <w:right w:w="55" w:type="dxa"/>
            </w:tcMar>
          </w:tcPr>
          <w:p w14:paraId="192A3150"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 xml:space="preserve"> ИНОВА; МАНУ; ФИНКИ, ФЕИТ и Економски фак</w:t>
            </w:r>
            <w:r>
              <w:rPr>
                <w:rFonts w:ascii="Times New Roman" w:eastAsia="Arial" w:hAnsi="Times New Roman" w:cs="Times New Roman"/>
                <w:sz w:val="16"/>
                <w:szCs w:val="16"/>
              </w:rPr>
              <w:t>ултет (ECCF), УКИМ</w:t>
            </w:r>
          </w:p>
        </w:tc>
        <w:tc>
          <w:tcPr>
            <w:tcW w:w="1152" w:type="dxa"/>
            <w:tcMar>
              <w:top w:w="50" w:type="dxa"/>
              <w:left w:w="55" w:type="dxa"/>
              <w:bottom w:w="50" w:type="dxa"/>
              <w:right w:w="55" w:type="dxa"/>
            </w:tcMar>
          </w:tcPr>
          <w:p w14:paraId="02B294FF"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Q1 2028</w:t>
            </w:r>
          </w:p>
        </w:tc>
        <w:tc>
          <w:tcPr>
            <w:tcW w:w="1299" w:type="dxa"/>
            <w:tcMar>
              <w:top w:w="50" w:type="dxa"/>
              <w:left w:w="55" w:type="dxa"/>
              <w:bottom w:w="50" w:type="dxa"/>
              <w:right w:w="55" w:type="dxa"/>
            </w:tcMar>
          </w:tcPr>
          <w:p w14:paraId="180AA054"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Q4 2029</w:t>
            </w:r>
          </w:p>
        </w:tc>
        <w:tc>
          <w:tcPr>
            <w:tcW w:w="1501" w:type="dxa"/>
            <w:tcMar>
              <w:top w:w="50" w:type="dxa"/>
              <w:left w:w="55" w:type="dxa"/>
              <w:bottom w:w="50" w:type="dxa"/>
              <w:right w:w="55" w:type="dxa"/>
            </w:tcMar>
          </w:tcPr>
          <w:p w14:paraId="6AB57801" w14:textId="5705B225" w:rsidR="00FE200F" w:rsidRDefault="00015530">
            <w:pPr>
              <w:spacing w:line="216" w:lineRule="auto"/>
              <w:rPr>
                <w:rFonts w:ascii="Times New Roman" w:hAnsi="Times New Roman" w:cs="Times New Roman"/>
                <w:sz w:val="16"/>
                <w:szCs w:val="16"/>
              </w:rPr>
            </w:pPr>
            <w:r>
              <w:rPr>
                <w:rFonts w:ascii="Times New Roman" w:eastAsia="Arial" w:hAnsi="Times New Roman" w:cs="Times New Roman"/>
                <w:sz w:val="16"/>
                <w:szCs w:val="16"/>
              </w:rPr>
              <w:t>10.000.000</w:t>
            </w:r>
          </w:p>
        </w:tc>
        <w:tc>
          <w:tcPr>
            <w:tcW w:w="1699" w:type="dxa"/>
            <w:tcMar>
              <w:top w:w="50" w:type="dxa"/>
              <w:left w:w="55" w:type="dxa"/>
              <w:bottom w:w="50" w:type="dxa"/>
              <w:right w:w="55" w:type="dxa"/>
            </w:tcMar>
          </w:tcPr>
          <w:p w14:paraId="4EC9A5C4"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ИПА III</w:t>
            </w:r>
            <w:r>
              <w:rPr>
                <w:rFonts w:ascii="Times New Roman" w:hAnsi="Times New Roman" w:cs="Times New Roman"/>
                <w:sz w:val="16"/>
                <w:szCs w:val="16"/>
              </w:rPr>
              <w:br/>
            </w:r>
            <w:r>
              <w:rPr>
                <w:rFonts w:ascii="Times New Roman" w:eastAsia="Arial" w:hAnsi="Times New Roman" w:cs="Times New Roman"/>
                <w:sz w:val="16"/>
                <w:szCs w:val="16"/>
              </w:rPr>
              <w:t>Horizon Europe</w:t>
            </w:r>
            <w:r>
              <w:rPr>
                <w:rFonts w:ascii="Times New Roman" w:hAnsi="Times New Roman" w:cs="Times New Roman"/>
                <w:sz w:val="16"/>
                <w:szCs w:val="16"/>
              </w:rPr>
              <w:br/>
            </w:r>
            <w:r>
              <w:rPr>
                <w:rFonts w:ascii="Times New Roman" w:eastAsia="Arial" w:hAnsi="Times New Roman" w:cs="Times New Roman"/>
                <w:sz w:val="16"/>
                <w:szCs w:val="16"/>
              </w:rPr>
              <w:t>Буџет на РСМ</w:t>
            </w:r>
          </w:p>
        </w:tc>
        <w:tc>
          <w:tcPr>
            <w:tcW w:w="3346" w:type="dxa"/>
            <w:vMerge/>
            <w:tcMar>
              <w:top w:w="50" w:type="dxa"/>
              <w:left w:w="55" w:type="dxa"/>
              <w:bottom w:w="50" w:type="dxa"/>
              <w:right w:w="55" w:type="dxa"/>
            </w:tcMar>
          </w:tcPr>
          <w:p w14:paraId="28E91D28" w14:textId="77777777" w:rsidR="00FE200F" w:rsidRDefault="00FE200F">
            <w:pPr>
              <w:rPr>
                <w:rFonts w:ascii="Times New Roman" w:hAnsi="Times New Roman" w:cs="Times New Roman"/>
                <w:sz w:val="16"/>
                <w:szCs w:val="16"/>
              </w:rPr>
            </w:pPr>
          </w:p>
        </w:tc>
      </w:tr>
      <w:tr w:rsidR="00FE200F" w14:paraId="134D83D5" w14:textId="77777777">
        <w:trPr>
          <w:cantSplit/>
          <w:jc w:val="center"/>
        </w:trPr>
        <w:tc>
          <w:tcPr>
            <w:tcW w:w="1900" w:type="dxa"/>
            <w:vMerge w:val="restart"/>
            <w:vAlign w:val="center"/>
          </w:tcPr>
          <w:p w14:paraId="16D68952"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b/>
                <w:sz w:val="16"/>
                <w:szCs w:val="16"/>
              </w:rPr>
              <w:t>М3.2.2 Развој на македонски јазични модели (LLM) и NLP алатки</w:t>
            </w:r>
          </w:p>
        </w:tc>
        <w:tc>
          <w:tcPr>
            <w:tcW w:w="3202" w:type="dxa"/>
            <w:vAlign w:val="center"/>
          </w:tcPr>
          <w:p w14:paraId="3F5EC2F1"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А3.2.2.1. Формирање на конзорциум (МАНУ, ФИНКИ, МДТ, МАСИТ) за развој на македонски LLM</w:t>
            </w:r>
          </w:p>
        </w:tc>
        <w:tc>
          <w:tcPr>
            <w:tcW w:w="1899" w:type="dxa"/>
            <w:vAlign w:val="center"/>
          </w:tcPr>
          <w:p w14:paraId="31695B36"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 xml:space="preserve">МАНУ; ФИНКИ, ФЕИТ и </w:t>
            </w:r>
            <w:r>
              <w:rPr>
                <w:rFonts w:ascii="Times New Roman" w:eastAsia="Arial" w:hAnsi="Times New Roman" w:cs="Times New Roman"/>
                <w:sz w:val="16"/>
                <w:szCs w:val="16"/>
              </w:rPr>
              <w:t>Економски факултет (ECCF), УКИМ; МДТ; МАСИТ</w:t>
            </w:r>
          </w:p>
        </w:tc>
        <w:tc>
          <w:tcPr>
            <w:tcW w:w="1152" w:type="dxa"/>
            <w:vAlign w:val="center"/>
          </w:tcPr>
          <w:p w14:paraId="31DD0148"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Q2 2027</w:t>
            </w:r>
          </w:p>
        </w:tc>
        <w:tc>
          <w:tcPr>
            <w:tcW w:w="1299" w:type="dxa"/>
            <w:vAlign w:val="center"/>
          </w:tcPr>
          <w:p w14:paraId="0686F8C2"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Q4 2029</w:t>
            </w:r>
          </w:p>
        </w:tc>
        <w:tc>
          <w:tcPr>
            <w:tcW w:w="1501" w:type="dxa"/>
            <w:vAlign w:val="center"/>
          </w:tcPr>
          <w:p w14:paraId="0301D68A" w14:textId="106B0CCC" w:rsidR="00FE200F" w:rsidRDefault="00015530">
            <w:pPr>
              <w:spacing w:line="216" w:lineRule="auto"/>
              <w:rPr>
                <w:rFonts w:ascii="Times New Roman" w:hAnsi="Times New Roman" w:cs="Times New Roman"/>
                <w:sz w:val="16"/>
                <w:szCs w:val="16"/>
              </w:rPr>
            </w:pPr>
            <w:r>
              <w:rPr>
                <w:rFonts w:ascii="Times New Roman" w:eastAsia="Arial" w:hAnsi="Times New Roman" w:cs="Times New Roman"/>
                <w:sz w:val="16"/>
                <w:szCs w:val="16"/>
              </w:rPr>
              <w:t>0</w:t>
            </w:r>
          </w:p>
        </w:tc>
        <w:tc>
          <w:tcPr>
            <w:tcW w:w="1699" w:type="dxa"/>
            <w:vAlign w:val="center"/>
          </w:tcPr>
          <w:p w14:paraId="7890181D"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Буџет на РСМ</w:t>
            </w:r>
            <w:r>
              <w:rPr>
                <w:rFonts w:ascii="Times New Roman" w:hAnsi="Times New Roman" w:cs="Times New Roman"/>
                <w:sz w:val="16"/>
                <w:szCs w:val="16"/>
              </w:rPr>
              <w:br/>
            </w:r>
            <w:r>
              <w:rPr>
                <w:rFonts w:ascii="Times New Roman" w:eastAsia="Arial" w:hAnsi="Times New Roman" w:cs="Times New Roman"/>
                <w:sz w:val="16"/>
                <w:szCs w:val="16"/>
              </w:rPr>
              <w:t>EuroHPC</w:t>
            </w:r>
          </w:p>
        </w:tc>
        <w:tc>
          <w:tcPr>
            <w:tcW w:w="3346" w:type="dxa"/>
            <w:vMerge w:val="restart"/>
            <w:tcMar>
              <w:top w:w="35" w:type="dxa"/>
              <w:left w:w="45" w:type="dxa"/>
              <w:bottom w:w="35" w:type="dxa"/>
              <w:right w:w="45" w:type="dxa"/>
            </w:tcMar>
            <w:vAlign w:val="center"/>
          </w:tcPr>
          <w:p w14:paraId="4AFA0247"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Показател на резултат: Македонски јазичен корпус и отворен LLM/NLP модел.</w:t>
            </w:r>
          </w:p>
          <w:p w14:paraId="74364438"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Почетна вредност (2027): 0 GB куриран корпус и нема објавен национален модел.</w:t>
            </w:r>
          </w:p>
          <w:p w14:paraId="60E3FDCC"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Преодна вредност (202</w:t>
            </w:r>
            <w:r>
              <w:rPr>
                <w:rFonts w:ascii="Times New Roman" w:eastAsia="Arial" w:hAnsi="Times New Roman" w:cs="Times New Roman"/>
                <w:sz w:val="16"/>
                <w:szCs w:val="16"/>
              </w:rPr>
              <w:t xml:space="preserve">8): Најмалку 5 GB корпус и објавен отворен модел. </w:t>
            </w:r>
          </w:p>
          <w:p w14:paraId="258C52B4" w14:textId="77777777" w:rsidR="00FE200F" w:rsidRDefault="00E77CAF">
            <w:pPr>
              <w:spacing w:line="216" w:lineRule="auto"/>
              <w:rPr>
                <w:rFonts w:ascii="Times New Roman" w:hAnsi="Times New Roman" w:cs="Times New Roman"/>
                <w:sz w:val="16"/>
                <w:szCs w:val="16"/>
                <w:lang w:val="mk-MK"/>
              </w:rPr>
            </w:pPr>
            <w:r>
              <w:rPr>
                <w:rFonts w:ascii="Times New Roman" w:eastAsia="Arial" w:hAnsi="Times New Roman" w:cs="Times New Roman"/>
                <w:sz w:val="16"/>
                <w:szCs w:val="16"/>
              </w:rPr>
              <w:t>Крајна вредност (2029): Најмалку 10 GB корпус и објавен отворен модел.</w:t>
            </w:r>
          </w:p>
        </w:tc>
      </w:tr>
      <w:tr w:rsidR="00FE200F" w14:paraId="05185D53" w14:textId="77777777">
        <w:trPr>
          <w:cantSplit/>
          <w:jc w:val="center"/>
        </w:trPr>
        <w:tc>
          <w:tcPr>
            <w:tcW w:w="1900" w:type="dxa"/>
            <w:vMerge/>
            <w:tcMar>
              <w:top w:w="50" w:type="dxa"/>
              <w:left w:w="55" w:type="dxa"/>
              <w:bottom w:w="50" w:type="dxa"/>
              <w:right w:w="55" w:type="dxa"/>
            </w:tcMar>
          </w:tcPr>
          <w:p w14:paraId="1FC73DF3" w14:textId="77777777" w:rsidR="00FE200F" w:rsidRDefault="00FE200F">
            <w:pPr>
              <w:rPr>
                <w:rFonts w:ascii="Times New Roman" w:hAnsi="Times New Roman" w:cs="Times New Roman"/>
                <w:sz w:val="16"/>
                <w:szCs w:val="16"/>
              </w:rPr>
            </w:pPr>
          </w:p>
        </w:tc>
        <w:tc>
          <w:tcPr>
            <w:tcW w:w="3202" w:type="dxa"/>
            <w:vAlign w:val="center"/>
          </w:tcPr>
          <w:p w14:paraId="39A05644"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А3.2.2.2. Мапирање, собирање, курирање и, каде што е соодветно, анонимизација или псевдонимизација на текстуални корпуси. За секој р</w:t>
            </w:r>
            <w:r>
              <w:rPr>
                <w:rFonts w:ascii="Times New Roman" w:eastAsia="Arial" w:hAnsi="Times New Roman" w:cs="Times New Roman"/>
                <w:sz w:val="16"/>
                <w:szCs w:val="16"/>
              </w:rPr>
              <w:t>есурс се води каталог со потекло, држател, дозволена намена, правен основ, лиценца или услови за користење, евентуални ограничувања од носители на права, присуство на лични или доверливи податоци, рок на чување, одговорно лице и резултат од проверката на к</w:t>
            </w:r>
            <w:r>
              <w:rPr>
                <w:rFonts w:ascii="Times New Roman" w:eastAsia="Arial" w:hAnsi="Times New Roman" w:cs="Times New Roman"/>
                <w:sz w:val="16"/>
                <w:szCs w:val="16"/>
              </w:rPr>
              <w:t>валитетот и ризиците.</w:t>
            </w:r>
          </w:p>
        </w:tc>
        <w:tc>
          <w:tcPr>
            <w:tcW w:w="1899" w:type="dxa"/>
            <w:tcMar>
              <w:top w:w="50" w:type="dxa"/>
              <w:left w:w="55" w:type="dxa"/>
              <w:bottom w:w="50" w:type="dxa"/>
              <w:right w:w="55" w:type="dxa"/>
            </w:tcMar>
          </w:tcPr>
          <w:p w14:paraId="571A3103"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МАНУ; ФИНКИ, ФЕИТ и Економски факултет (ECCF), УКИМ; МДТ; МАСИТ</w:t>
            </w:r>
          </w:p>
        </w:tc>
        <w:tc>
          <w:tcPr>
            <w:tcW w:w="1152" w:type="dxa"/>
            <w:tcMar>
              <w:top w:w="50" w:type="dxa"/>
              <w:left w:w="55" w:type="dxa"/>
              <w:bottom w:w="50" w:type="dxa"/>
              <w:right w:w="55" w:type="dxa"/>
            </w:tcMar>
          </w:tcPr>
          <w:p w14:paraId="22D736C7"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Q2 2027</w:t>
            </w:r>
          </w:p>
        </w:tc>
        <w:tc>
          <w:tcPr>
            <w:tcW w:w="1299" w:type="dxa"/>
            <w:tcMar>
              <w:top w:w="50" w:type="dxa"/>
              <w:left w:w="55" w:type="dxa"/>
              <w:bottom w:w="50" w:type="dxa"/>
              <w:right w:w="55" w:type="dxa"/>
            </w:tcMar>
          </w:tcPr>
          <w:p w14:paraId="355D3F58"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Q4 2029</w:t>
            </w:r>
          </w:p>
        </w:tc>
        <w:tc>
          <w:tcPr>
            <w:tcW w:w="1501" w:type="dxa"/>
            <w:tcMar>
              <w:top w:w="50" w:type="dxa"/>
              <w:left w:w="55" w:type="dxa"/>
              <w:bottom w:w="50" w:type="dxa"/>
              <w:right w:w="55" w:type="dxa"/>
            </w:tcMar>
          </w:tcPr>
          <w:p w14:paraId="5553DEA5" w14:textId="7BD71CE9" w:rsidR="00FE200F" w:rsidRDefault="00015530">
            <w:pPr>
              <w:spacing w:line="216" w:lineRule="auto"/>
              <w:rPr>
                <w:rFonts w:ascii="Times New Roman" w:hAnsi="Times New Roman" w:cs="Times New Roman"/>
                <w:sz w:val="16"/>
                <w:szCs w:val="16"/>
              </w:rPr>
            </w:pPr>
            <w:r>
              <w:rPr>
                <w:rFonts w:ascii="Times New Roman" w:eastAsia="Arial" w:hAnsi="Times New Roman" w:cs="Times New Roman"/>
                <w:sz w:val="16"/>
                <w:szCs w:val="16"/>
              </w:rPr>
              <w:t>10.000.000</w:t>
            </w:r>
          </w:p>
        </w:tc>
        <w:tc>
          <w:tcPr>
            <w:tcW w:w="1699" w:type="dxa"/>
            <w:tcMar>
              <w:top w:w="50" w:type="dxa"/>
              <w:left w:w="55" w:type="dxa"/>
              <w:bottom w:w="50" w:type="dxa"/>
              <w:right w:w="55" w:type="dxa"/>
            </w:tcMar>
          </w:tcPr>
          <w:p w14:paraId="0D914B51"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Буџет на РСМ</w:t>
            </w:r>
            <w:r>
              <w:rPr>
                <w:rFonts w:ascii="Times New Roman" w:hAnsi="Times New Roman" w:cs="Times New Roman"/>
                <w:sz w:val="16"/>
                <w:szCs w:val="16"/>
              </w:rPr>
              <w:br/>
            </w:r>
            <w:r>
              <w:rPr>
                <w:rFonts w:ascii="Times New Roman" w:eastAsia="Arial" w:hAnsi="Times New Roman" w:cs="Times New Roman"/>
                <w:sz w:val="16"/>
                <w:szCs w:val="16"/>
              </w:rPr>
              <w:t>EuroHPC</w:t>
            </w:r>
          </w:p>
        </w:tc>
        <w:tc>
          <w:tcPr>
            <w:tcW w:w="3346" w:type="dxa"/>
            <w:vMerge/>
            <w:tcMar>
              <w:top w:w="50" w:type="dxa"/>
              <w:left w:w="55" w:type="dxa"/>
              <w:bottom w:w="50" w:type="dxa"/>
              <w:right w:w="55" w:type="dxa"/>
            </w:tcMar>
          </w:tcPr>
          <w:p w14:paraId="1A032112" w14:textId="77777777" w:rsidR="00FE200F" w:rsidRDefault="00FE200F">
            <w:pPr>
              <w:rPr>
                <w:rFonts w:ascii="Times New Roman" w:hAnsi="Times New Roman" w:cs="Times New Roman"/>
                <w:sz w:val="16"/>
                <w:szCs w:val="16"/>
              </w:rPr>
            </w:pPr>
          </w:p>
        </w:tc>
      </w:tr>
      <w:tr w:rsidR="00FE200F" w14:paraId="68BC597F" w14:textId="77777777">
        <w:trPr>
          <w:cantSplit/>
          <w:jc w:val="center"/>
        </w:trPr>
        <w:tc>
          <w:tcPr>
            <w:tcW w:w="1900" w:type="dxa"/>
            <w:vMerge/>
            <w:tcMar>
              <w:top w:w="50" w:type="dxa"/>
              <w:left w:w="55" w:type="dxa"/>
              <w:bottom w:w="50" w:type="dxa"/>
              <w:right w:w="55" w:type="dxa"/>
            </w:tcMar>
          </w:tcPr>
          <w:p w14:paraId="12C0EBF5" w14:textId="77777777" w:rsidR="00FE200F" w:rsidRDefault="00FE200F">
            <w:pPr>
              <w:rPr>
                <w:rFonts w:ascii="Times New Roman" w:hAnsi="Times New Roman" w:cs="Times New Roman"/>
                <w:sz w:val="16"/>
                <w:szCs w:val="16"/>
              </w:rPr>
            </w:pPr>
          </w:p>
        </w:tc>
        <w:tc>
          <w:tcPr>
            <w:tcW w:w="3202" w:type="dxa"/>
            <w:vAlign w:val="center"/>
          </w:tcPr>
          <w:p w14:paraId="0E28CF54"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 xml:space="preserve">А3.2.2.3. Обука, независно тестирање и, само кога техничката употребливост, правата за користење, заштитата на </w:t>
            </w:r>
            <w:r>
              <w:rPr>
                <w:rFonts w:ascii="Times New Roman" w:eastAsia="Arial" w:hAnsi="Times New Roman" w:cs="Times New Roman"/>
                <w:sz w:val="16"/>
                <w:szCs w:val="16"/>
              </w:rPr>
              <w:t>податоците, безбедноста и условите на лиценцата се потврдени, евентуална јавна достапност на македонски јазичен модел. Пред објавување се документираат изворите и условите за употреба на влезните и изведените податоци, како и ограничувањата и намената на м</w:t>
            </w:r>
            <w:r>
              <w:rPr>
                <w:rFonts w:ascii="Times New Roman" w:eastAsia="Arial" w:hAnsi="Times New Roman" w:cs="Times New Roman"/>
                <w:sz w:val="16"/>
                <w:szCs w:val="16"/>
              </w:rPr>
              <w:t>оделот.</w:t>
            </w:r>
          </w:p>
        </w:tc>
        <w:tc>
          <w:tcPr>
            <w:tcW w:w="1899" w:type="dxa"/>
            <w:tcMar>
              <w:top w:w="50" w:type="dxa"/>
              <w:left w:w="55" w:type="dxa"/>
              <w:bottom w:w="50" w:type="dxa"/>
              <w:right w:w="55" w:type="dxa"/>
            </w:tcMar>
          </w:tcPr>
          <w:p w14:paraId="4EA67B44"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МАНУ; ФИНКИ, ФЕИТ и Економски факултет (ECCF), УКИМ; МДТ; МАСИТ</w:t>
            </w:r>
          </w:p>
        </w:tc>
        <w:tc>
          <w:tcPr>
            <w:tcW w:w="1152" w:type="dxa"/>
            <w:tcMar>
              <w:top w:w="50" w:type="dxa"/>
              <w:left w:w="55" w:type="dxa"/>
              <w:bottom w:w="50" w:type="dxa"/>
              <w:right w:w="55" w:type="dxa"/>
            </w:tcMar>
          </w:tcPr>
          <w:p w14:paraId="63D3D0EB"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Q2 2027</w:t>
            </w:r>
          </w:p>
        </w:tc>
        <w:tc>
          <w:tcPr>
            <w:tcW w:w="1299" w:type="dxa"/>
            <w:tcMar>
              <w:top w:w="50" w:type="dxa"/>
              <w:left w:w="55" w:type="dxa"/>
              <w:bottom w:w="50" w:type="dxa"/>
              <w:right w:w="55" w:type="dxa"/>
            </w:tcMar>
          </w:tcPr>
          <w:p w14:paraId="5002B2D1"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Q4 2029</w:t>
            </w:r>
          </w:p>
        </w:tc>
        <w:tc>
          <w:tcPr>
            <w:tcW w:w="1501" w:type="dxa"/>
            <w:tcMar>
              <w:top w:w="50" w:type="dxa"/>
              <w:left w:w="55" w:type="dxa"/>
              <w:bottom w:w="50" w:type="dxa"/>
              <w:right w:w="55" w:type="dxa"/>
            </w:tcMar>
          </w:tcPr>
          <w:p w14:paraId="1292E7E7" w14:textId="3AAAD045" w:rsidR="00FE200F" w:rsidRDefault="00015530">
            <w:pPr>
              <w:spacing w:line="216" w:lineRule="auto"/>
              <w:rPr>
                <w:rFonts w:ascii="Times New Roman" w:hAnsi="Times New Roman" w:cs="Times New Roman"/>
                <w:sz w:val="16"/>
                <w:szCs w:val="16"/>
              </w:rPr>
            </w:pPr>
            <w:r>
              <w:rPr>
                <w:rFonts w:ascii="Times New Roman" w:eastAsia="Arial" w:hAnsi="Times New Roman" w:cs="Times New Roman"/>
                <w:sz w:val="16"/>
                <w:szCs w:val="16"/>
              </w:rPr>
              <w:t>5.000.000</w:t>
            </w:r>
          </w:p>
        </w:tc>
        <w:tc>
          <w:tcPr>
            <w:tcW w:w="1699" w:type="dxa"/>
            <w:tcMar>
              <w:top w:w="50" w:type="dxa"/>
              <w:left w:w="55" w:type="dxa"/>
              <w:bottom w:w="50" w:type="dxa"/>
              <w:right w:w="55" w:type="dxa"/>
            </w:tcMar>
          </w:tcPr>
          <w:p w14:paraId="28D73294"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Буџет на РСМ</w:t>
            </w:r>
            <w:r>
              <w:rPr>
                <w:rFonts w:ascii="Times New Roman" w:hAnsi="Times New Roman" w:cs="Times New Roman"/>
                <w:sz w:val="16"/>
                <w:szCs w:val="16"/>
              </w:rPr>
              <w:br/>
            </w:r>
            <w:r>
              <w:rPr>
                <w:rFonts w:ascii="Times New Roman" w:eastAsia="Arial" w:hAnsi="Times New Roman" w:cs="Times New Roman"/>
                <w:sz w:val="16"/>
                <w:szCs w:val="16"/>
              </w:rPr>
              <w:t>EuroHPC</w:t>
            </w:r>
          </w:p>
        </w:tc>
        <w:tc>
          <w:tcPr>
            <w:tcW w:w="3346" w:type="dxa"/>
            <w:vMerge/>
            <w:tcMar>
              <w:top w:w="50" w:type="dxa"/>
              <w:left w:w="55" w:type="dxa"/>
              <w:bottom w:w="50" w:type="dxa"/>
              <w:right w:w="55" w:type="dxa"/>
            </w:tcMar>
          </w:tcPr>
          <w:p w14:paraId="62BC314E" w14:textId="77777777" w:rsidR="00FE200F" w:rsidRDefault="00FE200F">
            <w:pPr>
              <w:rPr>
                <w:rFonts w:ascii="Times New Roman" w:hAnsi="Times New Roman" w:cs="Times New Roman"/>
                <w:sz w:val="16"/>
                <w:szCs w:val="16"/>
              </w:rPr>
            </w:pPr>
          </w:p>
        </w:tc>
      </w:tr>
      <w:tr w:rsidR="00FE200F" w14:paraId="624ACDC3" w14:textId="77777777">
        <w:trPr>
          <w:cantSplit/>
          <w:jc w:val="center"/>
        </w:trPr>
        <w:tc>
          <w:tcPr>
            <w:tcW w:w="8153" w:type="dxa"/>
            <w:gridSpan w:val="4"/>
            <w:shd w:val="clear" w:color="auto" w:fill="E7E6E6"/>
            <w:vAlign w:val="center"/>
          </w:tcPr>
          <w:p w14:paraId="1CC24703"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b/>
                <w:sz w:val="16"/>
                <w:szCs w:val="16"/>
              </w:rPr>
              <w:lastRenderedPageBreak/>
              <w:t>Посебна цел 3.3. Доживотно учење и преквалификација за ВИ</w:t>
            </w:r>
          </w:p>
        </w:tc>
        <w:tc>
          <w:tcPr>
            <w:tcW w:w="7845" w:type="dxa"/>
            <w:gridSpan w:val="4"/>
            <w:shd w:val="clear" w:color="auto" w:fill="F2F2F2"/>
            <w:vAlign w:val="center"/>
          </w:tcPr>
          <w:p w14:paraId="642B0AD1"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 xml:space="preserve">ПОКАЗАТЕЛ НА ИСХОД: Достапни програми за преквалификација и применливи ВИ </w:t>
            </w:r>
            <w:r>
              <w:rPr>
                <w:rFonts w:ascii="Times New Roman" w:eastAsia="Arial" w:hAnsi="Times New Roman" w:cs="Times New Roman"/>
                <w:sz w:val="16"/>
                <w:szCs w:val="16"/>
              </w:rPr>
              <w:t>вештини во работната сила.Почетна вредност (2027): 0 структурирани програми и 0 лица опфатени со програмите.Преодна вредност (2028): најмалку 2 програми и 250 опфатени лица. Крајна вредност (2029): најмалку 3 програми и 500 опфатени лица.</w:t>
            </w:r>
          </w:p>
        </w:tc>
      </w:tr>
      <w:tr w:rsidR="00FE200F" w14:paraId="7E3E5CFC" w14:textId="77777777">
        <w:trPr>
          <w:cantSplit/>
          <w:jc w:val="center"/>
        </w:trPr>
        <w:tc>
          <w:tcPr>
            <w:tcW w:w="1900" w:type="dxa"/>
            <w:vMerge w:val="restart"/>
            <w:vAlign w:val="center"/>
          </w:tcPr>
          <w:p w14:paraId="6AC4A9DF"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b/>
                <w:sz w:val="16"/>
                <w:szCs w:val="16"/>
              </w:rPr>
              <w:t xml:space="preserve">М3.3.1 Програми </w:t>
            </w:r>
            <w:r>
              <w:rPr>
                <w:rFonts w:ascii="Times New Roman" w:eastAsia="Arial" w:hAnsi="Times New Roman" w:cs="Times New Roman"/>
                <w:b/>
                <w:sz w:val="16"/>
                <w:szCs w:val="16"/>
              </w:rPr>
              <w:t>за преквалификација и ВИ вештини</w:t>
            </w:r>
          </w:p>
        </w:tc>
        <w:tc>
          <w:tcPr>
            <w:tcW w:w="3202" w:type="dxa"/>
            <w:vAlign w:val="center"/>
          </w:tcPr>
          <w:p w14:paraId="15B5CFC4"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А3.3.1.1. Развој на кратки курсеви (micro-credentials) за ВИ вештини, со отворени основни материјали и пилот-обуки за возрасни, вработени и ранливи групи согласно расположливите средства. Содржините опфаќаат безбедна употре</w:t>
            </w:r>
            <w:r>
              <w:rPr>
                <w:rFonts w:ascii="Times New Roman" w:eastAsia="Arial" w:hAnsi="Times New Roman" w:cs="Times New Roman"/>
                <w:sz w:val="16"/>
                <w:szCs w:val="16"/>
              </w:rPr>
              <w:t>ба на ВИ, проверка на резултатите и изворите, заштита на приватноста, авторство и одговорна употреба на генеративна ВИ.</w:t>
            </w:r>
          </w:p>
        </w:tc>
        <w:tc>
          <w:tcPr>
            <w:tcW w:w="1899" w:type="dxa"/>
            <w:vAlign w:val="center"/>
          </w:tcPr>
          <w:p w14:paraId="7AF06080"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АВРМ; МОН; МАСИТ; ФИНКИ, ФЕИТ и Економски факултет (ECCF), УКИМ; Brainster</w:t>
            </w:r>
          </w:p>
        </w:tc>
        <w:tc>
          <w:tcPr>
            <w:tcW w:w="1152" w:type="dxa"/>
            <w:vAlign w:val="center"/>
          </w:tcPr>
          <w:p w14:paraId="72B30795"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Q1 2028</w:t>
            </w:r>
          </w:p>
        </w:tc>
        <w:tc>
          <w:tcPr>
            <w:tcW w:w="1299" w:type="dxa"/>
            <w:vAlign w:val="center"/>
          </w:tcPr>
          <w:p w14:paraId="5936CD59"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Q4 2029</w:t>
            </w:r>
          </w:p>
        </w:tc>
        <w:tc>
          <w:tcPr>
            <w:tcW w:w="1501" w:type="dxa"/>
            <w:vAlign w:val="center"/>
          </w:tcPr>
          <w:p w14:paraId="2670B0AA" w14:textId="34D6FFA4" w:rsidR="00FE200F" w:rsidRDefault="00015530">
            <w:pPr>
              <w:spacing w:line="216" w:lineRule="auto"/>
              <w:rPr>
                <w:rFonts w:ascii="Times New Roman" w:hAnsi="Times New Roman" w:cs="Times New Roman"/>
                <w:sz w:val="16"/>
                <w:szCs w:val="16"/>
              </w:rPr>
            </w:pPr>
            <w:r>
              <w:rPr>
                <w:rFonts w:ascii="Times New Roman" w:eastAsia="Arial" w:hAnsi="Times New Roman" w:cs="Times New Roman"/>
                <w:sz w:val="16"/>
                <w:szCs w:val="16"/>
              </w:rPr>
              <w:t>2.000.000</w:t>
            </w:r>
          </w:p>
        </w:tc>
        <w:tc>
          <w:tcPr>
            <w:tcW w:w="1699" w:type="dxa"/>
            <w:vAlign w:val="center"/>
          </w:tcPr>
          <w:p w14:paraId="4C3641B9"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ИПА III</w:t>
            </w:r>
            <w:r>
              <w:rPr>
                <w:rFonts w:ascii="Times New Roman" w:hAnsi="Times New Roman" w:cs="Times New Roman"/>
                <w:sz w:val="16"/>
                <w:szCs w:val="16"/>
              </w:rPr>
              <w:br/>
            </w:r>
            <w:r>
              <w:rPr>
                <w:rFonts w:ascii="Times New Roman" w:eastAsia="Arial" w:hAnsi="Times New Roman" w:cs="Times New Roman"/>
                <w:sz w:val="16"/>
                <w:szCs w:val="16"/>
              </w:rPr>
              <w:t>Буџет на РСМ</w:t>
            </w:r>
          </w:p>
        </w:tc>
        <w:tc>
          <w:tcPr>
            <w:tcW w:w="3346" w:type="dxa"/>
            <w:vMerge w:val="restart"/>
            <w:tcMar>
              <w:top w:w="35" w:type="dxa"/>
              <w:left w:w="45" w:type="dxa"/>
              <w:bottom w:w="35" w:type="dxa"/>
              <w:right w:w="45" w:type="dxa"/>
            </w:tcMar>
            <w:vAlign w:val="center"/>
          </w:tcPr>
          <w:p w14:paraId="5884397C"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Показател на р</w:t>
            </w:r>
            <w:r>
              <w:rPr>
                <w:rFonts w:ascii="Times New Roman" w:eastAsia="Arial" w:hAnsi="Times New Roman" w:cs="Times New Roman"/>
                <w:sz w:val="16"/>
                <w:szCs w:val="16"/>
              </w:rPr>
              <w:t>езултат: Лица преквалификувани за ВИ-поврзани занимања.</w:t>
            </w:r>
          </w:p>
          <w:p w14:paraId="639E3DBC"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Почетна вредност (2027): 0 развиени курсеви и 0 преквалификувани лица.</w:t>
            </w:r>
          </w:p>
          <w:p w14:paraId="48B34085"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 xml:space="preserve">Преодна вредност (2028): 2 курсеви и најмалку 250 преквалификувани лица. </w:t>
            </w:r>
          </w:p>
          <w:p w14:paraId="1FBF0563" w14:textId="77777777" w:rsidR="00FE200F" w:rsidRDefault="00E77CAF">
            <w:pPr>
              <w:spacing w:line="216" w:lineRule="auto"/>
              <w:rPr>
                <w:rFonts w:ascii="Times New Roman" w:hAnsi="Times New Roman" w:cs="Times New Roman"/>
                <w:sz w:val="16"/>
                <w:szCs w:val="16"/>
                <w:lang w:val="mk-MK"/>
              </w:rPr>
            </w:pPr>
            <w:r>
              <w:rPr>
                <w:rFonts w:ascii="Times New Roman" w:eastAsia="Arial" w:hAnsi="Times New Roman" w:cs="Times New Roman"/>
                <w:sz w:val="16"/>
                <w:szCs w:val="16"/>
              </w:rPr>
              <w:t>Крајна вредност (2029): 5 курсеви и најмалку 500 преква</w:t>
            </w:r>
            <w:r>
              <w:rPr>
                <w:rFonts w:ascii="Times New Roman" w:eastAsia="Arial" w:hAnsi="Times New Roman" w:cs="Times New Roman"/>
                <w:sz w:val="16"/>
                <w:szCs w:val="16"/>
              </w:rPr>
              <w:t>лификувани лица.</w:t>
            </w:r>
          </w:p>
        </w:tc>
      </w:tr>
      <w:tr w:rsidR="00FE200F" w14:paraId="7C0FBE03" w14:textId="77777777">
        <w:trPr>
          <w:cantSplit/>
          <w:jc w:val="center"/>
        </w:trPr>
        <w:tc>
          <w:tcPr>
            <w:tcW w:w="1900" w:type="dxa"/>
            <w:vMerge/>
            <w:tcMar>
              <w:top w:w="50" w:type="dxa"/>
              <w:left w:w="55" w:type="dxa"/>
              <w:bottom w:w="50" w:type="dxa"/>
              <w:right w:w="55" w:type="dxa"/>
            </w:tcMar>
          </w:tcPr>
          <w:p w14:paraId="39822E54" w14:textId="77777777" w:rsidR="00FE200F" w:rsidRDefault="00FE200F">
            <w:pPr>
              <w:rPr>
                <w:rFonts w:ascii="Times New Roman" w:hAnsi="Times New Roman" w:cs="Times New Roman"/>
                <w:sz w:val="16"/>
                <w:szCs w:val="16"/>
              </w:rPr>
            </w:pPr>
          </w:p>
        </w:tc>
        <w:tc>
          <w:tcPr>
            <w:tcW w:w="3202" w:type="dxa"/>
            <w:vAlign w:val="center"/>
          </w:tcPr>
          <w:p w14:paraId="52380CE1"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А3.3.1.2. Партнерство со приватниот сектор за on-the-job обуки</w:t>
            </w:r>
          </w:p>
        </w:tc>
        <w:tc>
          <w:tcPr>
            <w:tcW w:w="1899" w:type="dxa"/>
            <w:tcMar>
              <w:top w:w="50" w:type="dxa"/>
              <w:left w:w="55" w:type="dxa"/>
              <w:bottom w:w="50" w:type="dxa"/>
              <w:right w:w="55" w:type="dxa"/>
            </w:tcMar>
          </w:tcPr>
          <w:p w14:paraId="4B52EEB3"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АВРМ; МОН; МАСИТ; ФИНКИ, ФЕИТ и Економски факултет (ECCF), УКИМ; Brainster</w:t>
            </w:r>
          </w:p>
        </w:tc>
        <w:tc>
          <w:tcPr>
            <w:tcW w:w="1152" w:type="dxa"/>
            <w:tcMar>
              <w:top w:w="50" w:type="dxa"/>
              <w:left w:w="55" w:type="dxa"/>
              <w:bottom w:w="50" w:type="dxa"/>
              <w:right w:w="55" w:type="dxa"/>
            </w:tcMar>
          </w:tcPr>
          <w:p w14:paraId="479C367F"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Q1 2028</w:t>
            </w:r>
          </w:p>
        </w:tc>
        <w:tc>
          <w:tcPr>
            <w:tcW w:w="1299" w:type="dxa"/>
            <w:tcMar>
              <w:top w:w="50" w:type="dxa"/>
              <w:left w:w="55" w:type="dxa"/>
              <w:bottom w:w="50" w:type="dxa"/>
              <w:right w:w="55" w:type="dxa"/>
            </w:tcMar>
          </w:tcPr>
          <w:p w14:paraId="4EE38E70"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Q4 2029</w:t>
            </w:r>
          </w:p>
        </w:tc>
        <w:tc>
          <w:tcPr>
            <w:tcW w:w="1501" w:type="dxa"/>
            <w:tcMar>
              <w:top w:w="50" w:type="dxa"/>
              <w:left w:w="55" w:type="dxa"/>
              <w:bottom w:w="50" w:type="dxa"/>
              <w:right w:w="55" w:type="dxa"/>
            </w:tcMar>
          </w:tcPr>
          <w:p w14:paraId="0ADC3289" w14:textId="21111A64" w:rsidR="00FE200F" w:rsidRDefault="00015530">
            <w:pPr>
              <w:spacing w:line="216" w:lineRule="auto"/>
              <w:rPr>
                <w:rFonts w:ascii="Times New Roman" w:hAnsi="Times New Roman" w:cs="Times New Roman"/>
                <w:sz w:val="16"/>
                <w:szCs w:val="16"/>
              </w:rPr>
            </w:pPr>
            <w:r>
              <w:rPr>
                <w:rFonts w:ascii="Times New Roman" w:eastAsia="Arial" w:hAnsi="Times New Roman" w:cs="Times New Roman"/>
                <w:sz w:val="16"/>
                <w:szCs w:val="16"/>
              </w:rPr>
              <w:t>4.000.000</w:t>
            </w:r>
          </w:p>
        </w:tc>
        <w:tc>
          <w:tcPr>
            <w:tcW w:w="1699" w:type="dxa"/>
            <w:tcMar>
              <w:top w:w="50" w:type="dxa"/>
              <w:left w:w="55" w:type="dxa"/>
              <w:bottom w:w="50" w:type="dxa"/>
              <w:right w:w="55" w:type="dxa"/>
            </w:tcMar>
          </w:tcPr>
          <w:p w14:paraId="3C8B6F10"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ИПА III</w:t>
            </w:r>
            <w:r>
              <w:rPr>
                <w:rFonts w:ascii="Times New Roman" w:hAnsi="Times New Roman" w:cs="Times New Roman"/>
                <w:sz w:val="16"/>
                <w:szCs w:val="16"/>
              </w:rPr>
              <w:br/>
            </w:r>
            <w:r>
              <w:rPr>
                <w:rFonts w:ascii="Times New Roman" w:eastAsia="Arial" w:hAnsi="Times New Roman" w:cs="Times New Roman"/>
                <w:sz w:val="16"/>
                <w:szCs w:val="16"/>
              </w:rPr>
              <w:t>Буџет на РСМ</w:t>
            </w:r>
          </w:p>
        </w:tc>
        <w:tc>
          <w:tcPr>
            <w:tcW w:w="3346" w:type="dxa"/>
            <w:vMerge/>
            <w:tcMar>
              <w:top w:w="50" w:type="dxa"/>
              <w:left w:w="55" w:type="dxa"/>
              <w:bottom w:w="50" w:type="dxa"/>
              <w:right w:w="55" w:type="dxa"/>
            </w:tcMar>
          </w:tcPr>
          <w:p w14:paraId="4C30829E" w14:textId="77777777" w:rsidR="00FE200F" w:rsidRDefault="00FE200F">
            <w:pPr>
              <w:rPr>
                <w:rFonts w:ascii="Times New Roman" w:hAnsi="Times New Roman" w:cs="Times New Roman"/>
                <w:sz w:val="16"/>
                <w:szCs w:val="16"/>
              </w:rPr>
            </w:pPr>
          </w:p>
        </w:tc>
      </w:tr>
      <w:tr w:rsidR="00FE200F" w14:paraId="04B17839" w14:textId="77777777">
        <w:trPr>
          <w:cantSplit/>
          <w:jc w:val="center"/>
        </w:trPr>
        <w:tc>
          <w:tcPr>
            <w:tcW w:w="1900" w:type="dxa"/>
            <w:vMerge/>
            <w:tcMar>
              <w:top w:w="50" w:type="dxa"/>
              <w:left w:w="55" w:type="dxa"/>
              <w:bottom w:w="50" w:type="dxa"/>
              <w:right w:w="55" w:type="dxa"/>
            </w:tcMar>
          </w:tcPr>
          <w:p w14:paraId="02F97866" w14:textId="77777777" w:rsidR="00FE200F" w:rsidRDefault="00FE200F">
            <w:pPr>
              <w:rPr>
                <w:rFonts w:ascii="Times New Roman" w:hAnsi="Times New Roman" w:cs="Times New Roman"/>
                <w:sz w:val="16"/>
                <w:szCs w:val="16"/>
              </w:rPr>
            </w:pPr>
          </w:p>
        </w:tc>
        <w:tc>
          <w:tcPr>
            <w:tcW w:w="3202" w:type="dxa"/>
            <w:vAlign w:val="center"/>
          </w:tcPr>
          <w:p w14:paraId="378C858C"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 xml:space="preserve">А3.3.1.3. Преквалификација на 500 невработени </w:t>
            </w:r>
            <w:r>
              <w:rPr>
                <w:rFonts w:ascii="Times New Roman" w:eastAsia="Arial" w:hAnsi="Times New Roman" w:cs="Times New Roman"/>
                <w:sz w:val="16"/>
                <w:szCs w:val="16"/>
              </w:rPr>
              <w:t>лица во ВИ-поврзани занимања</w:t>
            </w:r>
          </w:p>
        </w:tc>
        <w:tc>
          <w:tcPr>
            <w:tcW w:w="1899" w:type="dxa"/>
            <w:tcMar>
              <w:top w:w="50" w:type="dxa"/>
              <w:left w:w="55" w:type="dxa"/>
              <w:bottom w:w="50" w:type="dxa"/>
              <w:right w:w="55" w:type="dxa"/>
            </w:tcMar>
          </w:tcPr>
          <w:p w14:paraId="24EC10F3"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АВРМ; МОН; МАСИТ; ФИНКИ, ФЕИТ и Економски факултет (ECCF), УКИМ</w:t>
            </w:r>
          </w:p>
        </w:tc>
        <w:tc>
          <w:tcPr>
            <w:tcW w:w="1152" w:type="dxa"/>
            <w:tcMar>
              <w:top w:w="50" w:type="dxa"/>
              <w:left w:w="55" w:type="dxa"/>
              <w:bottom w:w="50" w:type="dxa"/>
              <w:right w:w="55" w:type="dxa"/>
            </w:tcMar>
          </w:tcPr>
          <w:p w14:paraId="0F52F087"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Q1 2028</w:t>
            </w:r>
          </w:p>
        </w:tc>
        <w:tc>
          <w:tcPr>
            <w:tcW w:w="1299" w:type="dxa"/>
            <w:tcMar>
              <w:top w:w="50" w:type="dxa"/>
              <w:left w:w="55" w:type="dxa"/>
              <w:bottom w:w="50" w:type="dxa"/>
              <w:right w:w="55" w:type="dxa"/>
            </w:tcMar>
          </w:tcPr>
          <w:p w14:paraId="7BE231FF"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Q4 2029</w:t>
            </w:r>
          </w:p>
        </w:tc>
        <w:tc>
          <w:tcPr>
            <w:tcW w:w="1501" w:type="dxa"/>
            <w:tcMar>
              <w:top w:w="50" w:type="dxa"/>
              <w:left w:w="55" w:type="dxa"/>
              <w:bottom w:w="50" w:type="dxa"/>
              <w:right w:w="55" w:type="dxa"/>
            </w:tcMar>
          </w:tcPr>
          <w:p w14:paraId="2FA5045D" w14:textId="0A5079F9" w:rsidR="00FE200F" w:rsidRDefault="00015530">
            <w:pPr>
              <w:spacing w:line="216" w:lineRule="auto"/>
              <w:rPr>
                <w:rFonts w:ascii="Times New Roman" w:hAnsi="Times New Roman" w:cs="Times New Roman"/>
                <w:sz w:val="16"/>
                <w:szCs w:val="16"/>
              </w:rPr>
            </w:pPr>
            <w:r>
              <w:rPr>
                <w:rFonts w:ascii="Times New Roman" w:eastAsia="Arial" w:hAnsi="Times New Roman" w:cs="Times New Roman"/>
                <w:sz w:val="16"/>
                <w:szCs w:val="16"/>
              </w:rPr>
              <w:t>6.000.000</w:t>
            </w:r>
          </w:p>
        </w:tc>
        <w:tc>
          <w:tcPr>
            <w:tcW w:w="1699" w:type="dxa"/>
            <w:tcMar>
              <w:top w:w="50" w:type="dxa"/>
              <w:left w:w="55" w:type="dxa"/>
              <w:bottom w:w="50" w:type="dxa"/>
              <w:right w:w="55" w:type="dxa"/>
            </w:tcMar>
          </w:tcPr>
          <w:p w14:paraId="68A53FDF"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ИПА III</w:t>
            </w:r>
            <w:r>
              <w:rPr>
                <w:rFonts w:ascii="Times New Roman" w:hAnsi="Times New Roman" w:cs="Times New Roman"/>
                <w:sz w:val="16"/>
                <w:szCs w:val="16"/>
              </w:rPr>
              <w:br/>
            </w:r>
            <w:r>
              <w:rPr>
                <w:rFonts w:ascii="Times New Roman" w:eastAsia="Arial" w:hAnsi="Times New Roman" w:cs="Times New Roman"/>
                <w:sz w:val="16"/>
                <w:szCs w:val="16"/>
              </w:rPr>
              <w:t>Буџет на РСМ</w:t>
            </w:r>
          </w:p>
        </w:tc>
        <w:tc>
          <w:tcPr>
            <w:tcW w:w="3346" w:type="dxa"/>
            <w:vMerge/>
            <w:tcMar>
              <w:top w:w="50" w:type="dxa"/>
              <w:left w:w="55" w:type="dxa"/>
              <w:bottom w:w="50" w:type="dxa"/>
              <w:right w:w="55" w:type="dxa"/>
            </w:tcMar>
          </w:tcPr>
          <w:p w14:paraId="269030EB" w14:textId="77777777" w:rsidR="00FE200F" w:rsidRDefault="00FE200F">
            <w:pPr>
              <w:rPr>
                <w:rFonts w:ascii="Times New Roman" w:hAnsi="Times New Roman" w:cs="Times New Roman"/>
                <w:sz w:val="16"/>
                <w:szCs w:val="16"/>
              </w:rPr>
            </w:pPr>
          </w:p>
        </w:tc>
      </w:tr>
    </w:tbl>
    <w:p w14:paraId="275DD5CF" w14:textId="77777777" w:rsidR="00FE200F" w:rsidRDefault="00FE200F">
      <w:pPr>
        <w:rPr>
          <w:rFonts w:ascii="Times New Roman" w:hAnsi="Times New Roman" w:cs="Times New Roman"/>
          <w:sz w:val="16"/>
          <w:szCs w:val="16"/>
        </w:rPr>
      </w:pPr>
    </w:p>
    <w:tbl>
      <w:tblPr>
        <w:tblStyle w:val="TableGrid"/>
        <w:tblW w:w="16000" w:type="dxa"/>
        <w:jc w:val="center"/>
        <w:tblLayout w:type="fixed"/>
        <w:tblCellMar>
          <w:top w:w="60" w:type="dxa"/>
          <w:left w:w="70" w:type="dxa"/>
          <w:bottom w:w="60" w:type="dxa"/>
          <w:right w:w="70" w:type="dxa"/>
        </w:tblCellMar>
        <w:tblLook w:val="04A0" w:firstRow="1" w:lastRow="0" w:firstColumn="1" w:lastColumn="0" w:noHBand="0" w:noVBand="1"/>
      </w:tblPr>
      <w:tblGrid>
        <w:gridCol w:w="1901"/>
        <w:gridCol w:w="3203"/>
        <w:gridCol w:w="1899"/>
        <w:gridCol w:w="1152"/>
        <w:gridCol w:w="1299"/>
        <w:gridCol w:w="1501"/>
        <w:gridCol w:w="1699"/>
        <w:gridCol w:w="3346"/>
      </w:tblGrid>
      <w:tr w:rsidR="00FE200F" w14:paraId="3915D340" w14:textId="77777777">
        <w:trPr>
          <w:cantSplit/>
          <w:tblHeader/>
          <w:jc w:val="center"/>
        </w:trPr>
        <w:tc>
          <w:tcPr>
            <w:tcW w:w="1900" w:type="dxa"/>
            <w:shd w:val="clear" w:color="auto" w:fill="4472C4"/>
            <w:vAlign w:val="center"/>
          </w:tcPr>
          <w:p w14:paraId="55E03B64" w14:textId="77777777" w:rsidR="00FE200F" w:rsidRDefault="00E77CAF">
            <w:pPr>
              <w:spacing w:line="216"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Мерки</w:t>
            </w:r>
          </w:p>
        </w:tc>
        <w:tc>
          <w:tcPr>
            <w:tcW w:w="3202" w:type="dxa"/>
            <w:shd w:val="clear" w:color="auto" w:fill="4472C4"/>
            <w:vAlign w:val="center"/>
          </w:tcPr>
          <w:p w14:paraId="16535953" w14:textId="77777777" w:rsidR="00FE200F" w:rsidRDefault="00E77CAF">
            <w:pPr>
              <w:spacing w:line="216"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Активности</w:t>
            </w:r>
          </w:p>
        </w:tc>
        <w:tc>
          <w:tcPr>
            <w:tcW w:w="1899" w:type="dxa"/>
            <w:shd w:val="clear" w:color="auto" w:fill="4472C4"/>
            <w:vAlign w:val="center"/>
          </w:tcPr>
          <w:p w14:paraId="16969182" w14:textId="77777777" w:rsidR="00FE200F" w:rsidRDefault="00E77CAF">
            <w:pPr>
              <w:spacing w:line="216"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Водечки орган /</w:t>
            </w:r>
            <w:r>
              <w:rPr>
                <w:rFonts w:ascii="Times New Roman" w:hAnsi="Times New Roman" w:cs="Times New Roman"/>
                <w:sz w:val="16"/>
                <w:szCs w:val="16"/>
              </w:rPr>
              <w:br/>
            </w:r>
            <w:r>
              <w:rPr>
                <w:rFonts w:ascii="Times New Roman" w:eastAsia="Arial" w:hAnsi="Times New Roman" w:cs="Times New Roman"/>
                <w:b/>
                <w:color w:val="FFFFFF"/>
                <w:sz w:val="16"/>
                <w:szCs w:val="16"/>
              </w:rPr>
              <w:t>Други органи</w:t>
            </w:r>
          </w:p>
        </w:tc>
        <w:tc>
          <w:tcPr>
            <w:tcW w:w="1152" w:type="dxa"/>
            <w:shd w:val="clear" w:color="auto" w:fill="4472C4"/>
            <w:vAlign w:val="center"/>
          </w:tcPr>
          <w:p w14:paraId="2958DF3A" w14:textId="77777777" w:rsidR="00FE200F" w:rsidRDefault="00E77CAF">
            <w:pPr>
              <w:spacing w:line="216"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Почетен</w:t>
            </w:r>
            <w:r>
              <w:rPr>
                <w:rFonts w:ascii="Times New Roman" w:hAnsi="Times New Roman" w:cs="Times New Roman"/>
                <w:sz w:val="16"/>
                <w:szCs w:val="16"/>
              </w:rPr>
              <w:br/>
            </w:r>
            <w:r>
              <w:rPr>
                <w:rFonts w:ascii="Times New Roman" w:eastAsia="Arial" w:hAnsi="Times New Roman" w:cs="Times New Roman"/>
                <w:b/>
                <w:color w:val="FFFFFF"/>
                <w:sz w:val="16"/>
                <w:szCs w:val="16"/>
              </w:rPr>
              <w:t>датум</w:t>
            </w:r>
            <w:r>
              <w:rPr>
                <w:rFonts w:ascii="Times New Roman" w:hAnsi="Times New Roman" w:cs="Times New Roman"/>
                <w:sz w:val="16"/>
                <w:szCs w:val="16"/>
              </w:rPr>
              <w:br/>
            </w:r>
            <w:r>
              <w:rPr>
                <w:rFonts w:ascii="Times New Roman" w:eastAsia="Arial" w:hAnsi="Times New Roman" w:cs="Times New Roman"/>
                <w:b/>
                <w:color w:val="FFFFFF"/>
                <w:sz w:val="16"/>
                <w:szCs w:val="16"/>
              </w:rPr>
              <w:t>(квартал)</w:t>
            </w:r>
          </w:p>
        </w:tc>
        <w:tc>
          <w:tcPr>
            <w:tcW w:w="1299" w:type="dxa"/>
            <w:shd w:val="clear" w:color="auto" w:fill="4472C4"/>
            <w:vAlign w:val="center"/>
          </w:tcPr>
          <w:p w14:paraId="517873FC" w14:textId="77777777" w:rsidR="00FE200F" w:rsidRDefault="00E77CAF">
            <w:pPr>
              <w:spacing w:line="216"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Планиран датум на</w:t>
            </w:r>
            <w:r>
              <w:rPr>
                <w:rFonts w:ascii="Times New Roman" w:hAnsi="Times New Roman" w:cs="Times New Roman"/>
                <w:sz w:val="16"/>
                <w:szCs w:val="16"/>
              </w:rPr>
              <w:br/>
            </w:r>
            <w:r>
              <w:rPr>
                <w:rFonts w:ascii="Times New Roman" w:eastAsia="Arial" w:hAnsi="Times New Roman" w:cs="Times New Roman"/>
                <w:b/>
                <w:color w:val="FFFFFF"/>
                <w:sz w:val="16"/>
                <w:szCs w:val="16"/>
              </w:rPr>
              <w:t>извршување</w:t>
            </w:r>
            <w:r>
              <w:rPr>
                <w:rFonts w:ascii="Times New Roman" w:hAnsi="Times New Roman" w:cs="Times New Roman"/>
                <w:sz w:val="16"/>
                <w:szCs w:val="16"/>
              </w:rPr>
              <w:br/>
            </w:r>
            <w:r>
              <w:rPr>
                <w:rFonts w:ascii="Times New Roman" w:eastAsia="Arial" w:hAnsi="Times New Roman" w:cs="Times New Roman"/>
                <w:b/>
                <w:color w:val="FFFFFF"/>
                <w:sz w:val="16"/>
                <w:szCs w:val="16"/>
              </w:rPr>
              <w:t>(квартал)</w:t>
            </w:r>
          </w:p>
        </w:tc>
        <w:tc>
          <w:tcPr>
            <w:tcW w:w="1501" w:type="dxa"/>
            <w:shd w:val="clear" w:color="auto" w:fill="4472C4"/>
            <w:vAlign w:val="center"/>
          </w:tcPr>
          <w:p w14:paraId="15066211" w14:textId="77777777" w:rsidR="00FE200F" w:rsidRDefault="00E77CAF">
            <w:pPr>
              <w:spacing w:line="216"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Проценка на</w:t>
            </w:r>
            <w:r>
              <w:rPr>
                <w:rFonts w:ascii="Times New Roman" w:hAnsi="Times New Roman" w:cs="Times New Roman"/>
                <w:sz w:val="16"/>
                <w:szCs w:val="16"/>
              </w:rPr>
              <w:br/>
            </w:r>
            <w:r>
              <w:rPr>
                <w:rFonts w:ascii="Times New Roman" w:eastAsia="Arial" w:hAnsi="Times New Roman" w:cs="Times New Roman"/>
                <w:b/>
                <w:color w:val="FFFFFF"/>
                <w:sz w:val="16"/>
                <w:szCs w:val="16"/>
              </w:rPr>
              <w:t>потребни средства</w:t>
            </w:r>
            <w:r>
              <w:rPr>
                <w:rFonts w:ascii="Times New Roman" w:hAnsi="Times New Roman" w:cs="Times New Roman"/>
                <w:sz w:val="16"/>
                <w:szCs w:val="16"/>
              </w:rPr>
              <w:br/>
            </w:r>
            <w:r>
              <w:rPr>
                <w:rFonts w:ascii="Times New Roman" w:eastAsia="Arial" w:hAnsi="Times New Roman" w:cs="Times New Roman"/>
                <w:b/>
                <w:color w:val="FFFFFF"/>
                <w:sz w:val="16"/>
                <w:szCs w:val="16"/>
              </w:rPr>
              <w:t>(EUR)</w:t>
            </w:r>
          </w:p>
        </w:tc>
        <w:tc>
          <w:tcPr>
            <w:tcW w:w="1699" w:type="dxa"/>
            <w:shd w:val="clear" w:color="auto" w:fill="4472C4"/>
            <w:vAlign w:val="center"/>
          </w:tcPr>
          <w:p w14:paraId="30ECDFA6" w14:textId="77777777" w:rsidR="00FE200F" w:rsidRDefault="00E77CAF">
            <w:pPr>
              <w:spacing w:line="216"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Извор на</w:t>
            </w:r>
            <w:r>
              <w:rPr>
                <w:rFonts w:ascii="Times New Roman" w:hAnsi="Times New Roman" w:cs="Times New Roman"/>
                <w:sz w:val="16"/>
                <w:szCs w:val="16"/>
              </w:rPr>
              <w:br/>
            </w:r>
            <w:r>
              <w:rPr>
                <w:rFonts w:ascii="Times New Roman" w:eastAsia="Arial" w:hAnsi="Times New Roman" w:cs="Times New Roman"/>
                <w:b/>
                <w:color w:val="FFFFFF"/>
                <w:sz w:val="16"/>
                <w:szCs w:val="16"/>
              </w:rPr>
              <w:t>финансирање</w:t>
            </w:r>
          </w:p>
        </w:tc>
        <w:tc>
          <w:tcPr>
            <w:tcW w:w="3346" w:type="dxa"/>
            <w:shd w:val="clear" w:color="auto" w:fill="4472C4"/>
            <w:tcMar>
              <w:top w:w="35" w:type="dxa"/>
              <w:left w:w="45" w:type="dxa"/>
              <w:bottom w:w="35" w:type="dxa"/>
              <w:right w:w="45" w:type="dxa"/>
            </w:tcMar>
            <w:vAlign w:val="center"/>
          </w:tcPr>
          <w:p w14:paraId="0A4CA2FF" w14:textId="77777777" w:rsidR="00FE200F" w:rsidRDefault="00E77CAF">
            <w:pPr>
              <w:spacing w:line="218"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Показател на резултат и дијагностичка поврзаност (Фаза 1)</w:t>
            </w:r>
          </w:p>
        </w:tc>
      </w:tr>
      <w:tr w:rsidR="00FE200F" w14:paraId="0EEF0121" w14:textId="77777777">
        <w:trPr>
          <w:cantSplit/>
          <w:jc w:val="center"/>
        </w:trPr>
        <w:tc>
          <w:tcPr>
            <w:tcW w:w="8153" w:type="dxa"/>
            <w:gridSpan w:val="4"/>
            <w:shd w:val="clear" w:color="auto" w:fill="D9EAF7"/>
            <w:vAlign w:val="center"/>
          </w:tcPr>
          <w:p w14:paraId="15560416"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b/>
                <w:sz w:val="16"/>
                <w:szCs w:val="16"/>
              </w:rPr>
              <w:t>ПРИОРИТЕТНА ОБЛАСТ 4: ПОДАТОЦИ И ИНФРАСТРУКТУРА</w:t>
            </w:r>
          </w:p>
        </w:tc>
        <w:tc>
          <w:tcPr>
            <w:tcW w:w="7845" w:type="dxa"/>
            <w:gridSpan w:val="4"/>
            <w:shd w:val="clear" w:color="auto" w:fill="D9EAF7"/>
            <w:tcMar>
              <w:top w:w="40" w:type="dxa"/>
              <w:left w:w="50" w:type="dxa"/>
              <w:bottom w:w="40" w:type="dxa"/>
              <w:right w:w="50" w:type="dxa"/>
            </w:tcMar>
            <w:vAlign w:val="center"/>
          </w:tcPr>
          <w:p w14:paraId="1FE77E8F"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ПОВРЗАНОСТ СО НАЦИОНАЛНАТА РАЗВОЈНА СТРАТЕГИЈА 2024–2044:</w:t>
            </w:r>
            <w:r>
              <w:rPr>
                <w:rFonts w:ascii="Times New Roman" w:hAnsi="Times New Roman" w:cs="Times New Roman"/>
                <w:sz w:val="16"/>
                <w:szCs w:val="16"/>
              </w:rPr>
              <w:br/>
            </w:r>
            <w:r>
              <w:rPr>
                <w:rFonts w:ascii="Times New Roman" w:eastAsia="Arial" w:hAnsi="Times New Roman" w:cs="Times New Roman"/>
                <w:sz w:val="16"/>
                <w:szCs w:val="16"/>
              </w:rPr>
              <w:t xml:space="preserve">Дигитализација; Сигурно, безбедно </w:t>
            </w:r>
            <w:r>
              <w:rPr>
                <w:rFonts w:ascii="Times New Roman" w:eastAsia="Arial" w:hAnsi="Times New Roman" w:cs="Times New Roman"/>
                <w:sz w:val="16"/>
                <w:szCs w:val="16"/>
              </w:rPr>
              <w:t>и отпорно општество; Владеење на правото и добро управување.</w:t>
            </w:r>
            <w:r>
              <w:rPr>
                <w:rFonts w:ascii="Times New Roman" w:hAnsi="Times New Roman" w:cs="Times New Roman"/>
                <w:sz w:val="16"/>
                <w:szCs w:val="16"/>
              </w:rPr>
              <w:br/>
            </w:r>
            <w:r>
              <w:rPr>
                <w:rFonts w:ascii="Times New Roman" w:eastAsia="Arial" w:hAnsi="Times New Roman" w:cs="Times New Roman"/>
                <w:sz w:val="16"/>
                <w:szCs w:val="16"/>
              </w:rPr>
              <w:t>Придонес: суверена ВИ инфраструктура, повторно употребливи податоци и сајбер-отпорност.</w:t>
            </w:r>
            <w:r>
              <w:rPr>
                <w:rFonts w:ascii="Times New Roman" w:hAnsi="Times New Roman" w:cs="Times New Roman"/>
                <w:sz w:val="16"/>
                <w:szCs w:val="16"/>
              </w:rPr>
              <w:br/>
            </w:r>
            <w:r>
              <w:rPr>
                <w:rFonts w:ascii="Times New Roman" w:eastAsia="Arial" w:hAnsi="Times New Roman" w:cs="Times New Roman"/>
                <w:sz w:val="16"/>
                <w:szCs w:val="16"/>
              </w:rPr>
              <w:t xml:space="preserve">СМАРТ/МК:2030: Приоритетна област 1 – ИКТ инфраструктура и поврзливост; Приоритетна област 3 – Е-Владеење: </w:t>
            </w:r>
            <w:r>
              <w:rPr>
                <w:rFonts w:ascii="Times New Roman" w:eastAsia="Arial" w:hAnsi="Times New Roman" w:cs="Times New Roman"/>
                <w:sz w:val="16"/>
                <w:szCs w:val="16"/>
              </w:rPr>
              <w:t>управување и испорака на електронски услуги.</w:t>
            </w:r>
          </w:p>
        </w:tc>
      </w:tr>
      <w:tr w:rsidR="00FE200F" w14:paraId="0BBB5E49" w14:textId="77777777">
        <w:trPr>
          <w:cantSplit/>
          <w:jc w:val="center"/>
        </w:trPr>
        <w:tc>
          <w:tcPr>
            <w:tcW w:w="8153" w:type="dxa"/>
            <w:gridSpan w:val="4"/>
            <w:shd w:val="clear" w:color="auto" w:fill="BDD7EE"/>
            <w:vAlign w:val="center"/>
          </w:tcPr>
          <w:p w14:paraId="020B05EA"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b/>
                <w:sz w:val="16"/>
                <w:szCs w:val="16"/>
              </w:rPr>
              <w:lastRenderedPageBreak/>
              <w:t>ОПШТА ЦЕЛ: ОТВОРЕНИ ПОДАТОЦИ, КВАЛИТЕТ, СТАНДАРДИ, ОБЛАК/HPC</w:t>
            </w:r>
          </w:p>
        </w:tc>
        <w:tc>
          <w:tcPr>
            <w:tcW w:w="7845" w:type="dxa"/>
            <w:gridSpan w:val="4"/>
            <w:shd w:val="clear" w:color="auto" w:fill="EAF2F8"/>
            <w:vAlign w:val="center"/>
          </w:tcPr>
          <w:p w14:paraId="7BEE9AF3"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ПОКАЗАТЕЛ НА ЕФЕКТ: GARI AI Infrastructure и Resilience; статус на националната ВИ инфраструктура и број на ВИ-релевантни отворени датасетови.Почетна</w:t>
            </w:r>
            <w:r>
              <w:rPr>
                <w:rFonts w:ascii="Times New Roman" w:eastAsia="Arial" w:hAnsi="Times New Roman" w:cs="Times New Roman"/>
                <w:sz w:val="16"/>
                <w:szCs w:val="16"/>
              </w:rPr>
              <w:t xml:space="preserve"> вредност (2027): 41,12 / 38,98 (GARI 2025); основен HPC капацитет; 0 нови датасетови.Преодна вредност (2028): 40,80 / 37,40; надградена Везилка; најмалку 25 нови датасетови. Крајна вредност (2029): 48,00 / 44,00; надградена Везилка; најмалку 50 нови датас</w:t>
            </w:r>
            <w:r>
              <w:rPr>
                <w:rFonts w:ascii="Times New Roman" w:eastAsia="Arial" w:hAnsi="Times New Roman" w:cs="Times New Roman"/>
                <w:sz w:val="16"/>
                <w:szCs w:val="16"/>
              </w:rPr>
              <w:t>етови.</w:t>
            </w:r>
          </w:p>
        </w:tc>
      </w:tr>
      <w:tr w:rsidR="00FE200F" w14:paraId="7C0FA34D" w14:textId="77777777">
        <w:trPr>
          <w:cantSplit/>
          <w:jc w:val="center"/>
        </w:trPr>
        <w:tc>
          <w:tcPr>
            <w:tcW w:w="8153" w:type="dxa"/>
            <w:gridSpan w:val="4"/>
            <w:shd w:val="clear" w:color="auto" w:fill="E7E6E6"/>
            <w:vAlign w:val="center"/>
          </w:tcPr>
          <w:p w14:paraId="2E1CC042"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b/>
                <w:sz w:val="16"/>
                <w:szCs w:val="16"/>
              </w:rPr>
              <w:t>Посебна цел 4.1. Дигитална инфраструктура и HPC капацитети (Везилка)</w:t>
            </w:r>
          </w:p>
        </w:tc>
        <w:tc>
          <w:tcPr>
            <w:tcW w:w="7845" w:type="dxa"/>
            <w:gridSpan w:val="4"/>
            <w:shd w:val="clear" w:color="auto" w:fill="F2F2F2"/>
            <w:vAlign w:val="center"/>
          </w:tcPr>
          <w:p w14:paraId="20085E20"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ПОКАЗАТЕЛ НА ИСХОД: Надградена национална HPC инфраструктура и пристап за корисници.Почетна вредност (2027): Основен капацитет; нема AI Compute Credits.Преодна вредност (2028): На</w:t>
            </w:r>
            <w:r>
              <w:rPr>
                <w:rFonts w:ascii="Times New Roman" w:eastAsia="Arial" w:hAnsi="Times New Roman" w:cs="Times New Roman"/>
                <w:sz w:val="16"/>
                <w:szCs w:val="16"/>
              </w:rPr>
              <w:t>дградена Везилка, EuroHPC интеграција и најмалку 50 корисници. Крајна вредност (2029): Надградена Везилка, EuroHPC интеграција и најмалку 100 корисници.</w:t>
            </w:r>
          </w:p>
        </w:tc>
      </w:tr>
      <w:tr w:rsidR="00FE200F" w14:paraId="63E197BD" w14:textId="77777777">
        <w:trPr>
          <w:cantSplit/>
          <w:jc w:val="center"/>
        </w:trPr>
        <w:tc>
          <w:tcPr>
            <w:tcW w:w="1900" w:type="dxa"/>
            <w:vMerge w:val="restart"/>
            <w:vAlign w:val="center"/>
          </w:tcPr>
          <w:p w14:paraId="7EF8AB38"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b/>
                <w:sz w:val="16"/>
                <w:szCs w:val="16"/>
              </w:rPr>
              <w:t>М4.1.1 Надградба на националната HPC инфраструктура „Везилка"</w:t>
            </w:r>
          </w:p>
        </w:tc>
        <w:tc>
          <w:tcPr>
            <w:tcW w:w="3202" w:type="dxa"/>
            <w:vAlign w:val="center"/>
          </w:tcPr>
          <w:p w14:paraId="24CD72EA"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 xml:space="preserve">А4.1.1.1. Набавка на нова хардверска </w:t>
            </w:r>
            <w:r>
              <w:rPr>
                <w:rFonts w:ascii="Times New Roman" w:eastAsia="Arial" w:hAnsi="Times New Roman" w:cs="Times New Roman"/>
                <w:sz w:val="16"/>
                <w:szCs w:val="16"/>
              </w:rPr>
              <w:t>опрема (GPU кластери за ВИ тренирање)</w:t>
            </w:r>
          </w:p>
        </w:tc>
        <w:tc>
          <w:tcPr>
            <w:tcW w:w="1899" w:type="dxa"/>
            <w:vAlign w:val="center"/>
          </w:tcPr>
          <w:p w14:paraId="78BE4050"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ФИНКИ, ФЕИТ и Економски факултет (ECCF), УКИМ; МДТ</w:t>
            </w:r>
          </w:p>
        </w:tc>
        <w:tc>
          <w:tcPr>
            <w:tcW w:w="1152" w:type="dxa"/>
            <w:vAlign w:val="center"/>
          </w:tcPr>
          <w:p w14:paraId="35B63DF1"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Q3 2027</w:t>
            </w:r>
          </w:p>
        </w:tc>
        <w:tc>
          <w:tcPr>
            <w:tcW w:w="1299" w:type="dxa"/>
            <w:vAlign w:val="center"/>
          </w:tcPr>
          <w:p w14:paraId="2B730A36"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Q4 2028</w:t>
            </w:r>
          </w:p>
        </w:tc>
        <w:tc>
          <w:tcPr>
            <w:tcW w:w="1501" w:type="dxa"/>
            <w:vAlign w:val="center"/>
          </w:tcPr>
          <w:p w14:paraId="775B9447" w14:textId="46C00616" w:rsidR="00FE200F" w:rsidRDefault="00015530">
            <w:pPr>
              <w:spacing w:line="216" w:lineRule="auto"/>
              <w:rPr>
                <w:rFonts w:ascii="Times New Roman" w:hAnsi="Times New Roman" w:cs="Times New Roman"/>
                <w:sz w:val="16"/>
                <w:szCs w:val="16"/>
              </w:rPr>
            </w:pPr>
            <w:r>
              <w:rPr>
                <w:rFonts w:ascii="Times New Roman" w:eastAsia="Arial" w:hAnsi="Times New Roman" w:cs="Times New Roman"/>
                <w:sz w:val="16"/>
                <w:szCs w:val="16"/>
              </w:rPr>
              <w:t>50.000.000</w:t>
            </w:r>
          </w:p>
        </w:tc>
        <w:tc>
          <w:tcPr>
            <w:tcW w:w="1699" w:type="dxa"/>
            <w:vAlign w:val="center"/>
          </w:tcPr>
          <w:p w14:paraId="0F545FC2"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EuroHPC JU</w:t>
            </w:r>
            <w:r>
              <w:rPr>
                <w:rFonts w:ascii="Times New Roman" w:hAnsi="Times New Roman" w:cs="Times New Roman"/>
                <w:sz w:val="16"/>
                <w:szCs w:val="16"/>
              </w:rPr>
              <w:br/>
            </w:r>
            <w:r>
              <w:rPr>
                <w:rFonts w:ascii="Times New Roman" w:eastAsia="Arial" w:hAnsi="Times New Roman" w:cs="Times New Roman"/>
                <w:sz w:val="16"/>
                <w:szCs w:val="16"/>
              </w:rPr>
              <w:t>ИПА III</w:t>
            </w:r>
            <w:r>
              <w:rPr>
                <w:rFonts w:ascii="Times New Roman" w:hAnsi="Times New Roman" w:cs="Times New Roman"/>
                <w:sz w:val="16"/>
                <w:szCs w:val="16"/>
              </w:rPr>
              <w:br/>
            </w:r>
            <w:r>
              <w:rPr>
                <w:rFonts w:ascii="Times New Roman" w:eastAsia="Arial" w:hAnsi="Times New Roman" w:cs="Times New Roman"/>
                <w:sz w:val="16"/>
                <w:szCs w:val="16"/>
              </w:rPr>
              <w:t>Буџет на РСМ</w:t>
            </w:r>
          </w:p>
        </w:tc>
        <w:tc>
          <w:tcPr>
            <w:tcW w:w="3346" w:type="dxa"/>
            <w:vMerge w:val="restart"/>
            <w:tcMar>
              <w:top w:w="35" w:type="dxa"/>
              <w:left w:w="45" w:type="dxa"/>
              <w:bottom w:w="35" w:type="dxa"/>
              <w:right w:w="45" w:type="dxa"/>
            </w:tcMar>
            <w:vAlign w:val="center"/>
          </w:tcPr>
          <w:p w14:paraId="32EA419C"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Показател на резултат: Надградена Везилка и пристап до EuroHPC.</w:t>
            </w:r>
          </w:p>
          <w:p w14:paraId="5FE3D6FC"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 xml:space="preserve">Почетна вредност (2027): Основен капацитет; </w:t>
            </w:r>
            <w:r>
              <w:rPr>
                <w:rFonts w:ascii="Times New Roman" w:eastAsia="Arial" w:hAnsi="Times New Roman" w:cs="Times New Roman"/>
                <w:sz w:val="16"/>
                <w:szCs w:val="16"/>
              </w:rPr>
              <w:t>неинтегрирана во EuroHPC.</w:t>
            </w:r>
          </w:p>
          <w:p w14:paraId="42BB6F2B"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 xml:space="preserve">Преодна вредност (2028): Надградена Везилка, EuroHPC интеграција и најмалку 50 корисници. </w:t>
            </w:r>
          </w:p>
          <w:p w14:paraId="2BA4947F" w14:textId="77777777" w:rsidR="00FE200F" w:rsidRDefault="00E77CAF">
            <w:pPr>
              <w:spacing w:line="216" w:lineRule="auto"/>
              <w:rPr>
                <w:rFonts w:ascii="Times New Roman" w:hAnsi="Times New Roman" w:cs="Times New Roman"/>
                <w:sz w:val="16"/>
                <w:szCs w:val="16"/>
                <w:lang w:val="mk-MK"/>
              </w:rPr>
            </w:pPr>
            <w:r>
              <w:rPr>
                <w:rFonts w:ascii="Times New Roman" w:eastAsia="Arial" w:hAnsi="Times New Roman" w:cs="Times New Roman"/>
                <w:sz w:val="16"/>
                <w:szCs w:val="16"/>
              </w:rPr>
              <w:t>Крајна вредност (2029): Надградена Везилка, EuroHPC интеграција и најмалку 100 корисници.</w:t>
            </w:r>
          </w:p>
        </w:tc>
      </w:tr>
      <w:tr w:rsidR="00FE200F" w14:paraId="17F50D7F" w14:textId="77777777">
        <w:trPr>
          <w:cantSplit/>
          <w:jc w:val="center"/>
        </w:trPr>
        <w:tc>
          <w:tcPr>
            <w:tcW w:w="1900" w:type="dxa"/>
            <w:vMerge/>
            <w:tcMar>
              <w:top w:w="50" w:type="dxa"/>
              <w:left w:w="55" w:type="dxa"/>
              <w:bottom w:w="50" w:type="dxa"/>
              <w:right w:w="55" w:type="dxa"/>
            </w:tcMar>
          </w:tcPr>
          <w:p w14:paraId="60871210" w14:textId="77777777" w:rsidR="00FE200F" w:rsidRDefault="00FE200F">
            <w:pPr>
              <w:rPr>
                <w:rFonts w:ascii="Times New Roman" w:hAnsi="Times New Roman" w:cs="Times New Roman"/>
                <w:sz w:val="16"/>
                <w:szCs w:val="16"/>
              </w:rPr>
            </w:pPr>
          </w:p>
        </w:tc>
        <w:tc>
          <w:tcPr>
            <w:tcW w:w="3202" w:type="dxa"/>
            <w:vAlign w:val="center"/>
          </w:tcPr>
          <w:p w14:paraId="38CCD8F0"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 xml:space="preserve">А4.1.1.2. Интеграција со EuroHPC мрежата и </w:t>
            </w:r>
            <w:r>
              <w:rPr>
                <w:rFonts w:ascii="Times New Roman" w:eastAsia="Arial" w:hAnsi="Times New Roman" w:cs="Times New Roman"/>
                <w:sz w:val="16"/>
                <w:szCs w:val="16"/>
              </w:rPr>
              <w:t>обезбедување на пристап до LUMI/Leonardo</w:t>
            </w:r>
          </w:p>
        </w:tc>
        <w:tc>
          <w:tcPr>
            <w:tcW w:w="1899" w:type="dxa"/>
            <w:tcMar>
              <w:top w:w="50" w:type="dxa"/>
              <w:left w:w="55" w:type="dxa"/>
              <w:bottom w:w="50" w:type="dxa"/>
              <w:right w:w="55" w:type="dxa"/>
            </w:tcMar>
          </w:tcPr>
          <w:p w14:paraId="25AB42F6"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ФИНКИ, ФЕИТ и Економски факултет (ECCF), УКИМ; МДТ</w:t>
            </w:r>
          </w:p>
        </w:tc>
        <w:tc>
          <w:tcPr>
            <w:tcW w:w="1152" w:type="dxa"/>
            <w:tcMar>
              <w:top w:w="50" w:type="dxa"/>
              <w:left w:w="55" w:type="dxa"/>
              <w:bottom w:w="50" w:type="dxa"/>
              <w:right w:w="55" w:type="dxa"/>
            </w:tcMar>
          </w:tcPr>
          <w:p w14:paraId="36348DB1"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Q3 2027</w:t>
            </w:r>
          </w:p>
        </w:tc>
        <w:tc>
          <w:tcPr>
            <w:tcW w:w="1299" w:type="dxa"/>
            <w:tcMar>
              <w:top w:w="50" w:type="dxa"/>
              <w:left w:w="55" w:type="dxa"/>
              <w:bottom w:w="50" w:type="dxa"/>
              <w:right w:w="55" w:type="dxa"/>
            </w:tcMar>
          </w:tcPr>
          <w:p w14:paraId="192C8D3B"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Q4 2028</w:t>
            </w:r>
          </w:p>
        </w:tc>
        <w:tc>
          <w:tcPr>
            <w:tcW w:w="1501" w:type="dxa"/>
            <w:tcMar>
              <w:top w:w="50" w:type="dxa"/>
              <w:left w:w="55" w:type="dxa"/>
              <w:bottom w:w="50" w:type="dxa"/>
              <w:right w:w="55" w:type="dxa"/>
            </w:tcMar>
          </w:tcPr>
          <w:p w14:paraId="5D32C050" w14:textId="44351814" w:rsidR="00FE200F" w:rsidRDefault="00015530">
            <w:pPr>
              <w:spacing w:line="216" w:lineRule="auto"/>
              <w:rPr>
                <w:rFonts w:ascii="Times New Roman" w:hAnsi="Times New Roman" w:cs="Times New Roman"/>
                <w:sz w:val="16"/>
                <w:szCs w:val="16"/>
              </w:rPr>
            </w:pPr>
            <w:r>
              <w:rPr>
                <w:rFonts w:ascii="Times New Roman" w:eastAsia="Arial" w:hAnsi="Times New Roman" w:cs="Times New Roman"/>
                <w:sz w:val="16"/>
                <w:szCs w:val="16"/>
              </w:rPr>
              <w:t>10.000.000</w:t>
            </w:r>
          </w:p>
        </w:tc>
        <w:tc>
          <w:tcPr>
            <w:tcW w:w="1699" w:type="dxa"/>
            <w:tcMar>
              <w:top w:w="50" w:type="dxa"/>
              <w:left w:w="55" w:type="dxa"/>
              <w:bottom w:w="50" w:type="dxa"/>
              <w:right w:w="55" w:type="dxa"/>
            </w:tcMar>
          </w:tcPr>
          <w:p w14:paraId="7F089985"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EuroHPC JU</w:t>
            </w:r>
            <w:r>
              <w:rPr>
                <w:rFonts w:ascii="Times New Roman" w:hAnsi="Times New Roman" w:cs="Times New Roman"/>
                <w:sz w:val="16"/>
                <w:szCs w:val="16"/>
              </w:rPr>
              <w:br/>
            </w:r>
            <w:r>
              <w:rPr>
                <w:rFonts w:ascii="Times New Roman" w:eastAsia="Arial" w:hAnsi="Times New Roman" w:cs="Times New Roman"/>
                <w:sz w:val="16"/>
                <w:szCs w:val="16"/>
              </w:rPr>
              <w:t>ИПА III</w:t>
            </w:r>
            <w:r>
              <w:rPr>
                <w:rFonts w:ascii="Times New Roman" w:hAnsi="Times New Roman" w:cs="Times New Roman"/>
                <w:sz w:val="16"/>
                <w:szCs w:val="16"/>
              </w:rPr>
              <w:br/>
            </w:r>
            <w:r>
              <w:rPr>
                <w:rFonts w:ascii="Times New Roman" w:eastAsia="Arial" w:hAnsi="Times New Roman" w:cs="Times New Roman"/>
                <w:sz w:val="16"/>
                <w:szCs w:val="16"/>
              </w:rPr>
              <w:t>Буџет на РСМ</w:t>
            </w:r>
          </w:p>
        </w:tc>
        <w:tc>
          <w:tcPr>
            <w:tcW w:w="3346" w:type="dxa"/>
            <w:vMerge/>
            <w:tcMar>
              <w:top w:w="50" w:type="dxa"/>
              <w:left w:w="55" w:type="dxa"/>
              <w:bottom w:w="50" w:type="dxa"/>
              <w:right w:w="55" w:type="dxa"/>
            </w:tcMar>
          </w:tcPr>
          <w:p w14:paraId="07F68911" w14:textId="77777777" w:rsidR="00FE200F" w:rsidRDefault="00FE200F">
            <w:pPr>
              <w:rPr>
                <w:rFonts w:ascii="Times New Roman" w:hAnsi="Times New Roman" w:cs="Times New Roman"/>
                <w:sz w:val="16"/>
                <w:szCs w:val="16"/>
              </w:rPr>
            </w:pPr>
          </w:p>
        </w:tc>
      </w:tr>
      <w:tr w:rsidR="00FE200F" w14:paraId="42420251" w14:textId="77777777">
        <w:trPr>
          <w:cantSplit/>
          <w:jc w:val="center"/>
        </w:trPr>
        <w:tc>
          <w:tcPr>
            <w:tcW w:w="1900" w:type="dxa"/>
            <w:vMerge/>
            <w:tcMar>
              <w:top w:w="50" w:type="dxa"/>
              <w:left w:w="55" w:type="dxa"/>
              <w:bottom w:w="50" w:type="dxa"/>
              <w:right w:w="55" w:type="dxa"/>
            </w:tcMar>
          </w:tcPr>
          <w:p w14:paraId="2F137D15" w14:textId="77777777" w:rsidR="00FE200F" w:rsidRDefault="00FE200F">
            <w:pPr>
              <w:rPr>
                <w:rFonts w:ascii="Times New Roman" w:hAnsi="Times New Roman" w:cs="Times New Roman"/>
                <w:sz w:val="16"/>
                <w:szCs w:val="16"/>
              </w:rPr>
            </w:pPr>
          </w:p>
        </w:tc>
        <w:tc>
          <w:tcPr>
            <w:tcW w:w="3202" w:type="dxa"/>
            <w:vAlign w:val="center"/>
          </w:tcPr>
          <w:p w14:paraId="19B24E19"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А4.1.1.3. Обезбедување на оперативен тим и одржување</w:t>
            </w:r>
          </w:p>
        </w:tc>
        <w:tc>
          <w:tcPr>
            <w:tcW w:w="1899" w:type="dxa"/>
            <w:tcMar>
              <w:top w:w="50" w:type="dxa"/>
              <w:left w:w="55" w:type="dxa"/>
              <w:bottom w:w="50" w:type="dxa"/>
              <w:right w:w="55" w:type="dxa"/>
            </w:tcMar>
          </w:tcPr>
          <w:p w14:paraId="686AC2C9"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 xml:space="preserve">ФИНКИ, ФЕИТ и Економски факултет (ECCF), УКИМ; </w:t>
            </w:r>
            <w:r>
              <w:rPr>
                <w:rFonts w:ascii="Times New Roman" w:eastAsia="Arial" w:hAnsi="Times New Roman" w:cs="Times New Roman"/>
                <w:sz w:val="16"/>
                <w:szCs w:val="16"/>
              </w:rPr>
              <w:t>МДТ</w:t>
            </w:r>
          </w:p>
        </w:tc>
        <w:tc>
          <w:tcPr>
            <w:tcW w:w="1152" w:type="dxa"/>
            <w:tcMar>
              <w:top w:w="50" w:type="dxa"/>
              <w:left w:w="55" w:type="dxa"/>
              <w:bottom w:w="50" w:type="dxa"/>
              <w:right w:w="55" w:type="dxa"/>
            </w:tcMar>
          </w:tcPr>
          <w:p w14:paraId="62BF9194"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Q3 2027</w:t>
            </w:r>
          </w:p>
        </w:tc>
        <w:tc>
          <w:tcPr>
            <w:tcW w:w="1299" w:type="dxa"/>
            <w:tcMar>
              <w:top w:w="50" w:type="dxa"/>
              <w:left w:w="55" w:type="dxa"/>
              <w:bottom w:w="50" w:type="dxa"/>
              <w:right w:w="55" w:type="dxa"/>
            </w:tcMar>
          </w:tcPr>
          <w:p w14:paraId="6A40BE91"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Q4 2028</w:t>
            </w:r>
          </w:p>
        </w:tc>
        <w:tc>
          <w:tcPr>
            <w:tcW w:w="1501" w:type="dxa"/>
            <w:tcMar>
              <w:top w:w="50" w:type="dxa"/>
              <w:left w:w="55" w:type="dxa"/>
              <w:bottom w:w="50" w:type="dxa"/>
              <w:right w:w="55" w:type="dxa"/>
            </w:tcMar>
          </w:tcPr>
          <w:p w14:paraId="50DBBEC8" w14:textId="09066D16" w:rsidR="00FE200F" w:rsidRDefault="00015530">
            <w:pPr>
              <w:spacing w:line="216" w:lineRule="auto"/>
              <w:rPr>
                <w:rFonts w:ascii="Times New Roman" w:hAnsi="Times New Roman" w:cs="Times New Roman"/>
                <w:sz w:val="16"/>
                <w:szCs w:val="16"/>
              </w:rPr>
            </w:pPr>
            <w:r>
              <w:rPr>
                <w:rFonts w:ascii="Times New Roman" w:eastAsia="Arial" w:hAnsi="Times New Roman" w:cs="Times New Roman"/>
                <w:sz w:val="16"/>
                <w:szCs w:val="16"/>
              </w:rPr>
              <w:t>3.000.000</w:t>
            </w:r>
          </w:p>
        </w:tc>
        <w:tc>
          <w:tcPr>
            <w:tcW w:w="1699" w:type="dxa"/>
            <w:tcMar>
              <w:top w:w="50" w:type="dxa"/>
              <w:left w:w="55" w:type="dxa"/>
              <w:bottom w:w="50" w:type="dxa"/>
              <w:right w:w="55" w:type="dxa"/>
            </w:tcMar>
          </w:tcPr>
          <w:p w14:paraId="1932CD09"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EuroHPC JU</w:t>
            </w:r>
            <w:r>
              <w:rPr>
                <w:rFonts w:ascii="Times New Roman" w:hAnsi="Times New Roman" w:cs="Times New Roman"/>
                <w:sz w:val="16"/>
                <w:szCs w:val="16"/>
              </w:rPr>
              <w:br/>
            </w:r>
            <w:r>
              <w:rPr>
                <w:rFonts w:ascii="Times New Roman" w:eastAsia="Arial" w:hAnsi="Times New Roman" w:cs="Times New Roman"/>
                <w:sz w:val="16"/>
                <w:szCs w:val="16"/>
              </w:rPr>
              <w:t>ИПА III</w:t>
            </w:r>
            <w:r>
              <w:rPr>
                <w:rFonts w:ascii="Times New Roman" w:hAnsi="Times New Roman" w:cs="Times New Roman"/>
                <w:sz w:val="16"/>
                <w:szCs w:val="16"/>
              </w:rPr>
              <w:br/>
            </w:r>
            <w:r>
              <w:rPr>
                <w:rFonts w:ascii="Times New Roman" w:eastAsia="Arial" w:hAnsi="Times New Roman" w:cs="Times New Roman"/>
                <w:sz w:val="16"/>
                <w:szCs w:val="16"/>
              </w:rPr>
              <w:t>Буџет на РСМ</w:t>
            </w:r>
          </w:p>
        </w:tc>
        <w:tc>
          <w:tcPr>
            <w:tcW w:w="3346" w:type="dxa"/>
            <w:vMerge/>
            <w:tcMar>
              <w:top w:w="50" w:type="dxa"/>
              <w:left w:w="55" w:type="dxa"/>
              <w:bottom w:w="50" w:type="dxa"/>
              <w:right w:w="55" w:type="dxa"/>
            </w:tcMar>
          </w:tcPr>
          <w:p w14:paraId="4CF08598" w14:textId="77777777" w:rsidR="00FE200F" w:rsidRDefault="00FE200F">
            <w:pPr>
              <w:rPr>
                <w:rFonts w:ascii="Times New Roman" w:hAnsi="Times New Roman" w:cs="Times New Roman"/>
                <w:sz w:val="16"/>
                <w:szCs w:val="16"/>
              </w:rPr>
            </w:pPr>
          </w:p>
        </w:tc>
      </w:tr>
      <w:tr w:rsidR="00FE200F" w14:paraId="68C1252C" w14:textId="77777777">
        <w:trPr>
          <w:cantSplit/>
          <w:jc w:val="center"/>
        </w:trPr>
        <w:tc>
          <w:tcPr>
            <w:tcW w:w="1900" w:type="dxa"/>
            <w:vMerge w:val="restart"/>
            <w:vAlign w:val="center"/>
          </w:tcPr>
          <w:p w14:paraId="795FBF0E"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b/>
                <w:sz w:val="16"/>
                <w:szCs w:val="16"/>
              </w:rPr>
              <w:t>М4.1.2. Пристап до HPC за МСП и истражувачи</w:t>
            </w:r>
          </w:p>
        </w:tc>
        <w:tc>
          <w:tcPr>
            <w:tcW w:w="3202" w:type="dxa"/>
            <w:vAlign w:val="center"/>
          </w:tcPr>
          <w:p w14:paraId="69316FEC"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А4.1.2.1. Дефинирање на модел за користење (бесплатни часови за стартапи, академија)</w:t>
            </w:r>
          </w:p>
        </w:tc>
        <w:tc>
          <w:tcPr>
            <w:tcW w:w="1899" w:type="dxa"/>
            <w:vAlign w:val="center"/>
          </w:tcPr>
          <w:p w14:paraId="289FA9E5"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ФИНКИ, ФЕИТ и Економски факултет (ECCF), УКИМ; ИНОВА</w:t>
            </w:r>
          </w:p>
        </w:tc>
        <w:tc>
          <w:tcPr>
            <w:tcW w:w="1152" w:type="dxa"/>
            <w:vAlign w:val="center"/>
          </w:tcPr>
          <w:p w14:paraId="10458505"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Q1 2028</w:t>
            </w:r>
          </w:p>
        </w:tc>
        <w:tc>
          <w:tcPr>
            <w:tcW w:w="1299" w:type="dxa"/>
            <w:vAlign w:val="center"/>
          </w:tcPr>
          <w:p w14:paraId="560CC797"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Q4</w:t>
            </w:r>
            <w:r>
              <w:rPr>
                <w:rFonts w:ascii="Times New Roman" w:eastAsia="Arial" w:hAnsi="Times New Roman" w:cs="Times New Roman"/>
                <w:sz w:val="16"/>
                <w:szCs w:val="16"/>
              </w:rPr>
              <w:t xml:space="preserve"> 2029</w:t>
            </w:r>
          </w:p>
        </w:tc>
        <w:tc>
          <w:tcPr>
            <w:tcW w:w="1501" w:type="dxa"/>
            <w:vAlign w:val="center"/>
          </w:tcPr>
          <w:p w14:paraId="4351BD3A" w14:textId="27031146" w:rsidR="00FE200F" w:rsidRDefault="00015530">
            <w:pPr>
              <w:spacing w:line="216" w:lineRule="auto"/>
              <w:rPr>
                <w:rFonts w:ascii="Times New Roman" w:hAnsi="Times New Roman" w:cs="Times New Roman"/>
                <w:sz w:val="16"/>
                <w:szCs w:val="16"/>
              </w:rPr>
            </w:pPr>
            <w:r>
              <w:rPr>
                <w:rFonts w:ascii="Times New Roman" w:eastAsia="Arial" w:hAnsi="Times New Roman" w:cs="Times New Roman"/>
                <w:sz w:val="16"/>
                <w:szCs w:val="16"/>
              </w:rPr>
              <w:t>6.000.000</w:t>
            </w:r>
          </w:p>
        </w:tc>
        <w:tc>
          <w:tcPr>
            <w:tcW w:w="1699" w:type="dxa"/>
            <w:vAlign w:val="center"/>
          </w:tcPr>
          <w:p w14:paraId="31D53DF3"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Буџет на РСМ</w:t>
            </w:r>
          </w:p>
        </w:tc>
        <w:tc>
          <w:tcPr>
            <w:tcW w:w="3346" w:type="dxa"/>
            <w:vMerge w:val="restart"/>
            <w:tcMar>
              <w:top w:w="35" w:type="dxa"/>
              <w:left w:w="45" w:type="dxa"/>
              <w:bottom w:w="35" w:type="dxa"/>
              <w:right w:w="45" w:type="dxa"/>
            </w:tcMar>
            <w:vAlign w:val="center"/>
          </w:tcPr>
          <w:p w14:paraId="5CB671FC"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Показател на резултат: AI Compute Credits и пристап до HPC за МСП и истражувачи.</w:t>
            </w:r>
          </w:p>
          <w:p w14:paraId="5E3FC12A"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Почетна вредност (2027): Нема усвоен модел или доделени кредити.</w:t>
            </w:r>
          </w:p>
          <w:p w14:paraId="4EE24252"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 xml:space="preserve">Преодна вредност (2028): Усвоен модел и најмалку 25 корисници. </w:t>
            </w:r>
          </w:p>
          <w:p w14:paraId="59172A5D" w14:textId="77777777" w:rsidR="00FE200F" w:rsidRDefault="00E77CAF">
            <w:pPr>
              <w:spacing w:line="216" w:lineRule="auto"/>
              <w:rPr>
                <w:rFonts w:ascii="Times New Roman" w:hAnsi="Times New Roman" w:cs="Times New Roman"/>
                <w:sz w:val="16"/>
                <w:szCs w:val="16"/>
                <w:lang w:val="mk-MK"/>
              </w:rPr>
            </w:pPr>
            <w:r>
              <w:rPr>
                <w:rFonts w:ascii="Times New Roman" w:eastAsia="Arial" w:hAnsi="Times New Roman" w:cs="Times New Roman"/>
                <w:sz w:val="16"/>
                <w:szCs w:val="16"/>
              </w:rPr>
              <w:t>Крајна вредност (</w:t>
            </w:r>
            <w:r>
              <w:rPr>
                <w:rFonts w:ascii="Times New Roman" w:eastAsia="Arial" w:hAnsi="Times New Roman" w:cs="Times New Roman"/>
                <w:sz w:val="16"/>
                <w:szCs w:val="16"/>
              </w:rPr>
              <w:t>2029): Усвоен модел и најмалку 50 корисници.</w:t>
            </w:r>
          </w:p>
        </w:tc>
      </w:tr>
      <w:tr w:rsidR="00FE200F" w14:paraId="0EEF5FEB" w14:textId="77777777">
        <w:trPr>
          <w:cantSplit/>
          <w:jc w:val="center"/>
        </w:trPr>
        <w:tc>
          <w:tcPr>
            <w:tcW w:w="1900" w:type="dxa"/>
            <w:vMerge/>
            <w:vAlign w:val="center"/>
          </w:tcPr>
          <w:p w14:paraId="54BBFEB2" w14:textId="77777777" w:rsidR="00FE200F" w:rsidRDefault="00FE200F">
            <w:pPr>
              <w:spacing w:line="216" w:lineRule="auto"/>
              <w:rPr>
                <w:rFonts w:ascii="Times New Roman" w:eastAsia="Arial" w:hAnsi="Times New Roman" w:cs="Times New Roman"/>
                <w:b/>
                <w:sz w:val="16"/>
                <w:szCs w:val="16"/>
              </w:rPr>
            </w:pPr>
          </w:p>
        </w:tc>
        <w:tc>
          <w:tcPr>
            <w:tcW w:w="3202" w:type="dxa"/>
            <w:vAlign w:val="center"/>
          </w:tcPr>
          <w:p w14:paraId="4B26DA37" w14:textId="77777777" w:rsidR="00FE200F" w:rsidRDefault="00E77CAF">
            <w:pPr>
              <w:spacing w:line="216" w:lineRule="auto"/>
              <w:rPr>
                <w:rFonts w:ascii="Times New Roman" w:eastAsia="Arial" w:hAnsi="Times New Roman" w:cs="Times New Roman"/>
                <w:sz w:val="16"/>
                <w:szCs w:val="16"/>
              </w:rPr>
            </w:pPr>
            <w:r>
              <w:rPr>
                <w:rFonts w:ascii="Times New Roman" w:eastAsia="Arial" w:hAnsi="Times New Roman" w:cs="Times New Roman"/>
                <w:sz w:val="16"/>
                <w:szCs w:val="16"/>
              </w:rPr>
              <w:t>А4.1.2.2. Лансирање на програма „AI Compute Credits“ за МСП</w:t>
            </w:r>
          </w:p>
        </w:tc>
        <w:tc>
          <w:tcPr>
            <w:tcW w:w="1899" w:type="dxa"/>
          </w:tcPr>
          <w:p w14:paraId="2C8E4ADF" w14:textId="77777777" w:rsidR="00FE200F" w:rsidRDefault="00E77CAF">
            <w:pPr>
              <w:spacing w:line="216" w:lineRule="auto"/>
              <w:rPr>
                <w:rFonts w:ascii="Times New Roman" w:eastAsia="Arial" w:hAnsi="Times New Roman" w:cs="Times New Roman"/>
                <w:sz w:val="16"/>
                <w:szCs w:val="16"/>
              </w:rPr>
            </w:pPr>
            <w:r>
              <w:rPr>
                <w:rFonts w:ascii="Times New Roman" w:eastAsia="Arial" w:hAnsi="Times New Roman" w:cs="Times New Roman"/>
                <w:sz w:val="16"/>
                <w:szCs w:val="16"/>
              </w:rPr>
              <w:t>ФИНКИ, ФЕИТ и Економски факултет (ECCF), УКИМ; ИНОВА</w:t>
            </w:r>
          </w:p>
        </w:tc>
        <w:tc>
          <w:tcPr>
            <w:tcW w:w="1152" w:type="dxa"/>
          </w:tcPr>
          <w:p w14:paraId="69DB0D26" w14:textId="77777777" w:rsidR="00FE200F" w:rsidRDefault="00E77CAF">
            <w:pPr>
              <w:spacing w:line="216" w:lineRule="auto"/>
              <w:rPr>
                <w:rFonts w:ascii="Times New Roman" w:eastAsia="Arial" w:hAnsi="Times New Roman" w:cs="Times New Roman"/>
                <w:sz w:val="16"/>
                <w:szCs w:val="16"/>
              </w:rPr>
            </w:pPr>
            <w:r>
              <w:rPr>
                <w:rFonts w:ascii="Times New Roman" w:eastAsia="Arial" w:hAnsi="Times New Roman" w:cs="Times New Roman"/>
                <w:sz w:val="16"/>
                <w:szCs w:val="16"/>
              </w:rPr>
              <w:t>Q1 2028</w:t>
            </w:r>
          </w:p>
        </w:tc>
        <w:tc>
          <w:tcPr>
            <w:tcW w:w="1299" w:type="dxa"/>
          </w:tcPr>
          <w:p w14:paraId="1394573B" w14:textId="77777777" w:rsidR="00FE200F" w:rsidRDefault="00E77CAF">
            <w:pPr>
              <w:spacing w:line="216" w:lineRule="auto"/>
              <w:rPr>
                <w:rFonts w:ascii="Times New Roman" w:eastAsia="Arial" w:hAnsi="Times New Roman" w:cs="Times New Roman"/>
                <w:sz w:val="16"/>
                <w:szCs w:val="16"/>
              </w:rPr>
            </w:pPr>
            <w:r>
              <w:rPr>
                <w:rFonts w:ascii="Times New Roman" w:eastAsia="Arial" w:hAnsi="Times New Roman" w:cs="Times New Roman"/>
                <w:sz w:val="16"/>
                <w:szCs w:val="16"/>
              </w:rPr>
              <w:t>Q4 2029</w:t>
            </w:r>
          </w:p>
        </w:tc>
        <w:tc>
          <w:tcPr>
            <w:tcW w:w="1501" w:type="dxa"/>
          </w:tcPr>
          <w:p w14:paraId="3CE31F8A" w14:textId="4DE00C44" w:rsidR="00FE200F" w:rsidRDefault="00015530">
            <w:pPr>
              <w:spacing w:line="216" w:lineRule="auto"/>
              <w:rPr>
                <w:rFonts w:ascii="Times New Roman" w:eastAsia="Arial" w:hAnsi="Times New Roman" w:cs="Times New Roman"/>
                <w:sz w:val="16"/>
                <w:szCs w:val="16"/>
              </w:rPr>
            </w:pPr>
            <w:r>
              <w:rPr>
                <w:rFonts w:ascii="Times New Roman" w:eastAsia="Arial" w:hAnsi="Times New Roman" w:cs="Times New Roman"/>
                <w:sz w:val="16"/>
                <w:szCs w:val="16"/>
              </w:rPr>
              <w:t>6.000.000</w:t>
            </w:r>
          </w:p>
        </w:tc>
        <w:tc>
          <w:tcPr>
            <w:tcW w:w="1699" w:type="dxa"/>
          </w:tcPr>
          <w:p w14:paraId="703DD84E" w14:textId="77777777" w:rsidR="00FE200F" w:rsidRDefault="00E77CAF">
            <w:pPr>
              <w:spacing w:line="216" w:lineRule="auto"/>
              <w:rPr>
                <w:rFonts w:ascii="Times New Roman" w:eastAsia="Arial" w:hAnsi="Times New Roman" w:cs="Times New Roman"/>
                <w:sz w:val="16"/>
                <w:szCs w:val="16"/>
              </w:rPr>
            </w:pPr>
            <w:r>
              <w:rPr>
                <w:rFonts w:ascii="Times New Roman" w:eastAsia="Arial" w:hAnsi="Times New Roman" w:cs="Times New Roman"/>
                <w:sz w:val="16"/>
                <w:szCs w:val="16"/>
              </w:rPr>
              <w:t>Буџет на РСМ</w:t>
            </w:r>
          </w:p>
        </w:tc>
        <w:tc>
          <w:tcPr>
            <w:tcW w:w="3346" w:type="dxa"/>
            <w:vMerge/>
            <w:tcMar>
              <w:top w:w="35" w:type="dxa"/>
              <w:left w:w="45" w:type="dxa"/>
              <w:bottom w:w="35" w:type="dxa"/>
              <w:right w:w="45" w:type="dxa"/>
            </w:tcMar>
            <w:vAlign w:val="center"/>
          </w:tcPr>
          <w:p w14:paraId="0FA02D1D" w14:textId="77777777" w:rsidR="00FE200F" w:rsidRDefault="00FE200F">
            <w:pPr>
              <w:spacing w:line="216" w:lineRule="auto"/>
              <w:rPr>
                <w:rFonts w:ascii="Times New Roman" w:eastAsia="Arial" w:hAnsi="Times New Roman" w:cs="Times New Roman"/>
                <w:sz w:val="16"/>
                <w:szCs w:val="16"/>
              </w:rPr>
            </w:pPr>
          </w:p>
        </w:tc>
      </w:tr>
      <w:tr w:rsidR="00FE200F" w14:paraId="5AFB1ED0" w14:textId="77777777">
        <w:trPr>
          <w:cantSplit/>
          <w:jc w:val="center"/>
        </w:trPr>
        <w:tc>
          <w:tcPr>
            <w:tcW w:w="1900" w:type="dxa"/>
            <w:vMerge/>
            <w:tcMar>
              <w:top w:w="50" w:type="dxa"/>
              <w:left w:w="55" w:type="dxa"/>
              <w:bottom w:w="50" w:type="dxa"/>
              <w:right w:w="55" w:type="dxa"/>
            </w:tcMar>
          </w:tcPr>
          <w:p w14:paraId="103F7E8F" w14:textId="77777777" w:rsidR="00FE200F" w:rsidRDefault="00FE200F">
            <w:pPr>
              <w:rPr>
                <w:rFonts w:ascii="Times New Roman" w:hAnsi="Times New Roman" w:cs="Times New Roman"/>
                <w:sz w:val="16"/>
                <w:szCs w:val="16"/>
              </w:rPr>
            </w:pPr>
          </w:p>
        </w:tc>
        <w:tc>
          <w:tcPr>
            <w:tcW w:w="3202" w:type="dxa"/>
            <w:vAlign w:val="center"/>
          </w:tcPr>
          <w:p w14:paraId="6EE6F2A9" w14:textId="77777777" w:rsidR="00FE200F" w:rsidRDefault="00E77CAF">
            <w:pPr>
              <w:spacing w:line="216" w:lineRule="auto"/>
              <w:rPr>
                <w:rFonts w:ascii="Times New Roman" w:hAnsi="Times New Roman" w:cs="Times New Roman"/>
                <w:sz w:val="16"/>
                <w:szCs w:val="16"/>
                <w:lang w:val="mk-MK"/>
              </w:rPr>
            </w:pPr>
            <w:r>
              <w:rPr>
                <w:rFonts w:ascii="Times New Roman" w:eastAsia="Arial" w:hAnsi="Times New Roman" w:cs="Times New Roman"/>
                <w:sz w:val="16"/>
                <w:szCs w:val="16"/>
              </w:rPr>
              <w:t>А4.1.2.</w:t>
            </w:r>
            <w:r>
              <w:rPr>
                <w:rFonts w:ascii="Times New Roman" w:eastAsia="Arial" w:hAnsi="Times New Roman" w:cs="Times New Roman"/>
                <w:sz w:val="16"/>
                <w:szCs w:val="16"/>
                <w:lang w:val="mk-MK"/>
              </w:rPr>
              <w:t>3</w:t>
            </w:r>
            <w:r>
              <w:rPr>
                <w:rFonts w:ascii="Times New Roman" w:eastAsia="Arial" w:hAnsi="Times New Roman" w:cs="Times New Roman"/>
                <w:sz w:val="16"/>
                <w:szCs w:val="16"/>
              </w:rPr>
              <w:t xml:space="preserve">. </w:t>
            </w:r>
            <w:r>
              <w:rPr>
                <w:rFonts w:ascii="Times New Roman" w:eastAsia="Arial" w:hAnsi="Times New Roman" w:cs="Times New Roman"/>
                <w:sz w:val="16"/>
                <w:szCs w:val="16"/>
                <w:lang w:val="mk-MK"/>
              </w:rPr>
              <w:t xml:space="preserve">Студија за привлекување на инвестиции во </w:t>
            </w:r>
            <w:r>
              <w:rPr>
                <w:rFonts w:ascii="Times New Roman" w:eastAsia="Arial" w:hAnsi="Times New Roman" w:cs="Times New Roman"/>
                <w:sz w:val="16"/>
                <w:szCs w:val="16"/>
                <w:lang w:val="mk-MK"/>
              </w:rPr>
              <w:t>дата центри</w:t>
            </w:r>
          </w:p>
        </w:tc>
        <w:tc>
          <w:tcPr>
            <w:tcW w:w="1899" w:type="dxa"/>
            <w:tcMar>
              <w:top w:w="50" w:type="dxa"/>
              <w:left w:w="55" w:type="dxa"/>
              <w:bottom w:w="50" w:type="dxa"/>
              <w:right w:w="55" w:type="dxa"/>
            </w:tcMar>
          </w:tcPr>
          <w:p w14:paraId="2CF83EDF"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ФИНКИ, ФЕИТ и Економски факултет (ECCF), УКИМ; ИНОВА</w:t>
            </w:r>
          </w:p>
        </w:tc>
        <w:tc>
          <w:tcPr>
            <w:tcW w:w="1152" w:type="dxa"/>
            <w:tcMar>
              <w:top w:w="50" w:type="dxa"/>
              <w:left w:w="55" w:type="dxa"/>
              <w:bottom w:w="50" w:type="dxa"/>
              <w:right w:w="55" w:type="dxa"/>
            </w:tcMar>
          </w:tcPr>
          <w:p w14:paraId="4A90C60E" w14:textId="77777777" w:rsidR="00FE200F" w:rsidRDefault="00E77CAF">
            <w:pPr>
              <w:spacing w:line="216" w:lineRule="auto"/>
              <w:rPr>
                <w:rFonts w:ascii="Times New Roman" w:hAnsi="Times New Roman" w:cs="Times New Roman"/>
                <w:sz w:val="16"/>
                <w:szCs w:val="16"/>
                <w:lang w:val="mk-MK"/>
              </w:rPr>
            </w:pPr>
            <w:r>
              <w:rPr>
                <w:rFonts w:ascii="Times New Roman" w:eastAsia="Arial" w:hAnsi="Times New Roman" w:cs="Times New Roman"/>
                <w:sz w:val="16"/>
                <w:szCs w:val="16"/>
              </w:rPr>
              <w:t>Q1 202</w:t>
            </w:r>
            <w:r>
              <w:rPr>
                <w:rFonts w:ascii="Times New Roman" w:eastAsia="Arial" w:hAnsi="Times New Roman" w:cs="Times New Roman"/>
                <w:sz w:val="16"/>
                <w:szCs w:val="16"/>
                <w:lang w:val="mk-MK"/>
              </w:rPr>
              <w:t>7</w:t>
            </w:r>
          </w:p>
        </w:tc>
        <w:tc>
          <w:tcPr>
            <w:tcW w:w="1299" w:type="dxa"/>
            <w:tcMar>
              <w:top w:w="50" w:type="dxa"/>
              <w:left w:w="55" w:type="dxa"/>
              <w:bottom w:w="50" w:type="dxa"/>
              <w:right w:w="55" w:type="dxa"/>
            </w:tcMar>
          </w:tcPr>
          <w:p w14:paraId="2F0AE725" w14:textId="77777777" w:rsidR="00FE200F" w:rsidRDefault="00E77CAF">
            <w:pPr>
              <w:spacing w:line="216" w:lineRule="auto"/>
              <w:rPr>
                <w:rFonts w:ascii="Times New Roman" w:hAnsi="Times New Roman" w:cs="Times New Roman"/>
                <w:sz w:val="16"/>
                <w:szCs w:val="16"/>
                <w:lang w:val="mk-MK"/>
              </w:rPr>
            </w:pPr>
            <w:r>
              <w:rPr>
                <w:rFonts w:ascii="Times New Roman" w:eastAsia="Arial" w:hAnsi="Times New Roman" w:cs="Times New Roman"/>
                <w:sz w:val="16"/>
                <w:szCs w:val="16"/>
              </w:rPr>
              <w:t>Q4 202</w:t>
            </w:r>
            <w:r>
              <w:rPr>
                <w:rFonts w:ascii="Times New Roman" w:eastAsia="Arial" w:hAnsi="Times New Roman" w:cs="Times New Roman"/>
                <w:sz w:val="16"/>
                <w:szCs w:val="16"/>
                <w:lang w:val="mk-MK"/>
              </w:rPr>
              <w:t>7</w:t>
            </w:r>
          </w:p>
        </w:tc>
        <w:tc>
          <w:tcPr>
            <w:tcW w:w="1501" w:type="dxa"/>
            <w:tcMar>
              <w:top w:w="50" w:type="dxa"/>
              <w:left w:w="55" w:type="dxa"/>
              <w:bottom w:w="50" w:type="dxa"/>
              <w:right w:w="55" w:type="dxa"/>
            </w:tcMar>
          </w:tcPr>
          <w:p w14:paraId="50524B09" w14:textId="2EBD724F" w:rsidR="00FE200F" w:rsidRDefault="00015530">
            <w:pPr>
              <w:spacing w:line="216" w:lineRule="auto"/>
              <w:rPr>
                <w:rFonts w:ascii="Times New Roman" w:hAnsi="Times New Roman" w:cs="Times New Roman"/>
                <w:sz w:val="16"/>
                <w:szCs w:val="16"/>
              </w:rPr>
            </w:pPr>
            <w:r>
              <w:rPr>
                <w:rFonts w:ascii="Times New Roman" w:eastAsia="Arial" w:hAnsi="Times New Roman" w:cs="Times New Roman"/>
                <w:sz w:val="16"/>
                <w:szCs w:val="16"/>
              </w:rPr>
              <w:t>6.000.000</w:t>
            </w:r>
          </w:p>
        </w:tc>
        <w:tc>
          <w:tcPr>
            <w:tcW w:w="1699" w:type="dxa"/>
            <w:tcMar>
              <w:top w:w="50" w:type="dxa"/>
              <w:left w:w="55" w:type="dxa"/>
              <w:bottom w:w="50" w:type="dxa"/>
              <w:right w:w="55" w:type="dxa"/>
            </w:tcMar>
          </w:tcPr>
          <w:p w14:paraId="001574E3"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Буџет на РСМ</w:t>
            </w:r>
          </w:p>
        </w:tc>
        <w:tc>
          <w:tcPr>
            <w:tcW w:w="3346" w:type="dxa"/>
            <w:vMerge/>
            <w:tcMar>
              <w:top w:w="50" w:type="dxa"/>
              <w:left w:w="55" w:type="dxa"/>
              <w:bottom w:w="50" w:type="dxa"/>
              <w:right w:w="55" w:type="dxa"/>
            </w:tcMar>
          </w:tcPr>
          <w:p w14:paraId="5231C90F" w14:textId="77777777" w:rsidR="00FE200F" w:rsidRDefault="00FE200F">
            <w:pPr>
              <w:rPr>
                <w:rFonts w:ascii="Times New Roman" w:hAnsi="Times New Roman" w:cs="Times New Roman"/>
                <w:sz w:val="16"/>
                <w:szCs w:val="16"/>
              </w:rPr>
            </w:pPr>
          </w:p>
        </w:tc>
      </w:tr>
      <w:tr w:rsidR="00FE200F" w14:paraId="38E21C91" w14:textId="77777777">
        <w:trPr>
          <w:cantSplit/>
          <w:jc w:val="center"/>
        </w:trPr>
        <w:tc>
          <w:tcPr>
            <w:tcW w:w="8153" w:type="dxa"/>
            <w:gridSpan w:val="4"/>
            <w:shd w:val="clear" w:color="auto" w:fill="E7E6E6"/>
            <w:vAlign w:val="center"/>
          </w:tcPr>
          <w:p w14:paraId="6ED9FB49"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b/>
                <w:sz w:val="16"/>
                <w:szCs w:val="16"/>
              </w:rPr>
              <w:t>Посебна цел 4.2. Отворени податоци, интероперабилност и стандарди</w:t>
            </w:r>
          </w:p>
        </w:tc>
        <w:tc>
          <w:tcPr>
            <w:tcW w:w="7845" w:type="dxa"/>
            <w:gridSpan w:val="4"/>
            <w:shd w:val="clear" w:color="auto" w:fill="F2F2F2"/>
            <w:vAlign w:val="center"/>
          </w:tcPr>
          <w:p w14:paraId="3B8A04AC"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 xml:space="preserve">ПОКАЗАТЕЛ НА ИСХОД: Проширен екосистем на отворени податоци со национални ВИ </w:t>
            </w:r>
            <w:r>
              <w:rPr>
                <w:rFonts w:ascii="Times New Roman" w:eastAsia="Arial" w:hAnsi="Times New Roman" w:cs="Times New Roman"/>
                <w:sz w:val="16"/>
                <w:szCs w:val="16"/>
              </w:rPr>
              <w:t>стандарди за интероперабилност.Почетна вредност (2027): 0 нови ВИ-релевантни датасетови и нема усвоени стандарди.Преодна вредност (2028): најмалку 25 нови датасетови и усвоен основен пакет стандарди. Крајна вредност (2029): најмалку 50 нови датасетови и ус</w:t>
            </w:r>
            <w:r>
              <w:rPr>
                <w:rFonts w:ascii="Times New Roman" w:eastAsia="Arial" w:hAnsi="Times New Roman" w:cs="Times New Roman"/>
                <w:sz w:val="16"/>
                <w:szCs w:val="16"/>
              </w:rPr>
              <w:t>воен основен пакет стандарди.</w:t>
            </w:r>
          </w:p>
        </w:tc>
      </w:tr>
      <w:tr w:rsidR="00FE200F" w14:paraId="662394B2" w14:textId="77777777">
        <w:trPr>
          <w:cantSplit/>
          <w:jc w:val="center"/>
        </w:trPr>
        <w:tc>
          <w:tcPr>
            <w:tcW w:w="1900" w:type="dxa"/>
            <w:vMerge w:val="restart"/>
            <w:vAlign w:val="center"/>
          </w:tcPr>
          <w:p w14:paraId="556EB799"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b/>
                <w:sz w:val="16"/>
                <w:szCs w:val="16"/>
              </w:rPr>
              <w:lastRenderedPageBreak/>
              <w:t>М4.2.1 Проширување на порталот за отворени податоци</w:t>
            </w:r>
          </w:p>
        </w:tc>
        <w:tc>
          <w:tcPr>
            <w:tcW w:w="3202" w:type="dxa"/>
            <w:vAlign w:val="center"/>
          </w:tcPr>
          <w:p w14:paraId="13864905"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А4.2.1.1. Изработка на попис на податочните сетови по институција и идентификување на најмалку 50 нови податочни сетови од висок интерес за ВИ, за кои е утврдена соодветност</w:t>
            </w:r>
            <w:r>
              <w:rPr>
                <w:rFonts w:ascii="Times New Roman" w:eastAsia="Arial" w:hAnsi="Times New Roman" w:cs="Times New Roman"/>
                <w:sz w:val="16"/>
                <w:szCs w:val="16"/>
              </w:rPr>
              <w:t xml:space="preserve"> за објавување или за друга законита и контролирана повторна употреба. Пописот за секој сет содржи држател и одговорно лице, цел и опфат, формат и поврзливост, валидност, комплетност и ажурност, правен режим, лиценца или услови за користење, потекло, квали</w:t>
            </w:r>
            <w:r>
              <w:rPr>
                <w:rFonts w:ascii="Times New Roman" w:eastAsia="Arial" w:hAnsi="Times New Roman" w:cs="Times New Roman"/>
                <w:sz w:val="16"/>
                <w:szCs w:val="16"/>
              </w:rPr>
              <w:t>тет, репрезентативност, ризик од пристрасност и повторна идентификација, како и одлука дали сетот е отворен, заштитен или секторски ограничен. Внесувањето во пописот не претставува одлука за јавно објавување ниту дозвола за ВИ употреба.</w:t>
            </w:r>
          </w:p>
        </w:tc>
        <w:tc>
          <w:tcPr>
            <w:tcW w:w="1899" w:type="dxa"/>
            <w:vAlign w:val="center"/>
          </w:tcPr>
          <w:p w14:paraId="21ABEF87"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МДТ</w:t>
            </w:r>
            <w:r>
              <w:rPr>
                <w:rFonts w:ascii="Times New Roman" w:hAnsi="Times New Roman" w:cs="Times New Roman"/>
                <w:sz w:val="16"/>
                <w:szCs w:val="16"/>
              </w:rPr>
              <w:br/>
            </w:r>
            <w:r>
              <w:rPr>
                <w:rFonts w:ascii="Times New Roman" w:eastAsia="Arial" w:hAnsi="Times New Roman" w:cs="Times New Roman"/>
                <w:sz w:val="16"/>
                <w:szCs w:val="16"/>
              </w:rPr>
              <w:t>ДЗС</w:t>
            </w:r>
          </w:p>
        </w:tc>
        <w:tc>
          <w:tcPr>
            <w:tcW w:w="1152" w:type="dxa"/>
            <w:vAlign w:val="center"/>
          </w:tcPr>
          <w:p w14:paraId="5C10D60C"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Q2 2027</w:t>
            </w:r>
          </w:p>
        </w:tc>
        <w:tc>
          <w:tcPr>
            <w:tcW w:w="1299" w:type="dxa"/>
            <w:vAlign w:val="center"/>
          </w:tcPr>
          <w:p w14:paraId="0CF0798E"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 xml:space="preserve">Q4 </w:t>
            </w:r>
            <w:r>
              <w:rPr>
                <w:rFonts w:ascii="Times New Roman" w:eastAsia="Arial" w:hAnsi="Times New Roman" w:cs="Times New Roman"/>
                <w:sz w:val="16"/>
                <w:szCs w:val="16"/>
              </w:rPr>
              <w:t>2028</w:t>
            </w:r>
          </w:p>
        </w:tc>
        <w:tc>
          <w:tcPr>
            <w:tcW w:w="1501" w:type="dxa"/>
            <w:vAlign w:val="center"/>
          </w:tcPr>
          <w:p w14:paraId="00740558" w14:textId="393DCD01" w:rsidR="00FE200F" w:rsidRDefault="00015530">
            <w:pPr>
              <w:spacing w:line="216" w:lineRule="auto"/>
              <w:rPr>
                <w:rFonts w:ascii="Times New Roman" w:hAnsi="Times New Roman" w:cs="Times New Roman"/>
                <w:sz w:val="16"/>
                <w:szCs w:val="16"/>
              </w:rPr>
            </w:pPr>
            <w:r>
              <w:rPr>
                <w:rFonts w:ascii="Times New Roman" w:eastAsia="Arial" w:hAnsi="Times New Roman" w:cs="Times New Roman"/>
                <w:sz w:val="16"/>
                <w:szCs w:val="16"/>
              </w:rPr>
              <w:t>3.000.000</w:t>
            </w:r>
          </w:p>
        </w:tc>
        <w:tc>
          <w:tcPr>
            <w:tcW w:w="1699" w:type="dxa"/>
            <w:vAlign w:val="center"/>
          </w:tcPr>
          <w:p w14:paraId="7DFDC2C1"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Буџет на РСМ</w:t>
            </w:r>
          </w:p>
        </w:tc>
        <w:tc>
          <w:tcPr>
            <w:tcW w:w="3346" w:type="dxa"/>
            <w:vMerge w:val="restart"/>
            <w:tcMar>
              <w:top w:w="35" w:type="dxa"/>
              <w:left w:w="45" w:type="dxa"/>
              <w:bottom w:w="35" w:type="dxa"/>
              <w:right w:w="45" w:type="dxa"/>
            </w:tcMar>
            <w:vAlign w:val="center"/>
          </w:tcPr>
          <w:p w14:paraId="0B255264"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Показател на резултат: Нови ВИ-релевантни отворени датасетови со стандарди за квалитет.</w:t>
            </w:r>
          </w:p>
          <w:p w14:paraId="31D670F7"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Почетна вредност (2027): 0 нови таргетирани датасетови.</w:t>
            </w:r>
          </w:p>
          <w:p w14:paraId="0AB874C6"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 xml:space="preserve">Преодна вредност (2028): 25 нови датасетови; 30% со DCAT-AP метаподатоци. </w:t>
            </w:r>
          </w:p>
          <w:p w14:paraId="61647684" w14:textId="77777777" w:rsidR="00FE200F" w:rsidRDefault="00E77CAF">
            <w:pPr>
              <w:spacing w:line="216" w:lineRule="auto"/>
              <w:rPr>
                <w:rFonts w:ascii="Times New Roman" w:hAnsi="Times New Roman" w:cs="Times New Roman"/>
                <w:sz w:val="16"/>
                <w:szCs w:val="16"/>
                <w:lang w:val="mk-MK"/>
              </w:rPr>
            </w:pPr>
            <w:r>
              <w:rPr>
                <w:rFonts w:ascii="Times New Roman" w:eastAsia="Arial" w:hAnsi="Times New Roman" w:cs="Times New Roman"/>
                <w:sz w:val="16"/>
                <w:szCs w:val="16"/>
              </w:rPr>
              <w:t xml:space="preserve">Крајна </w:t>
            </w:r>
            <w:r>
              <w:rPr>
                <w:rFonts w:ascii="Times New Roman" w:eastAsia="Arial" w:hAnsi="Times New Roman" w:cs="Times New Roman"/>
                <w:sz w:val="16"/>
                <w:szCs w:val="16"/>
              </w:rPr>
              <w:t>вредност (2029): 50 нови датасетови; 60% со DCAT-AP метаподатоци.</w:t>
            </w:r>
          </w:p>
        </w:tc>
      </w:tr>
      <w:tr w:rsidR="00FE200F" w14:paraId="37750A76" w14:textId="77777777">
        <w:trPr>
          <w:cantSplit/>
          <w:jc w:val="center"/>
        </w:trPr>
        <w:tc>
          <w:tcPr>
            <w:tcW w:w="1900" w:type="dxa"/>
            <w:vMerge/>
            <w:tcMar>
              <w:top w:w="50" w:type="dxa"/>
              <w:left w:w="55" w:type="dxa"/>
              <w:bottom w:w="50" w:type="dxa"/>
              <w:right w:w="55" w:type="dxa"/>
            </w:tcMar>
          </w:tcPr>
          <w:p w14:paraId="7E0C5C55" w14:textId="77777777" w:rsidR="00FE200F" w:rsidRDefault="00FE200F">
            <w:pPr>
              <w:rPr>
                <w:rFonts w:ascii="Times New Roman" w:hAnsi="Times New Roman" w:cs="Times New Roman"/>
                <w:sz w:val="16"/>
                <w:szCs w:val="16"/>
              </w:rPr>
            </w:pPr>
          </w:p>
        </w:tc>
        <w:tc>
          <w:tcPr>
            <w:tcW w:w="3202" w:type="dxa"/>
            <w:vAlign w:val="center"/>
          </w:tcPr>
          <w:p w14:paraId="3B3F29C2"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А4.2.1.2. Објавување во машински-читлив формат (CSV, JSON, API)</w:t>
            </w:r>
          </w:p>
        </w:tc>
        <w:tc>
          <w:tcPr>
            <w:tcW w:w="1899" w:type="dxa"/>
            <w:tcMar>
              <w:top w:w="50" w:type="dxa"/>
              <w:left w:w="55" w:type="dxa"/>
              <w:bottom w:w="50" w:type="dxa"/>
              <w:right w:w="55" w:type="dxa"/>
            </w:tcMar>
          </w:tcPr>
          <w:p w14:paraId="0131BB24"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МДТ</w:t>
            </w:r>
            <w:r>
              <w:rPr>
                <w:rFonts w:ascii="Times New Roman" w:hAnsi="Times New Roman" w:cs="Times New Roman"/>
                <w:sz w:val="16"/>
                <w:szCs w:val="16"/>
              </w:rPr>
              <w:br/>
            </w:r>
            <w:r>
              <w:rPr>
                <w:rFonts w:ascii="Times New Roman" w:eastAsia="Arial" w:hAnsi="Times New Roman" w:cs="Times New Roman"/>
                <w:sz w:val="16"/>
                <w:szCs w:val="16"/>
              </w:rPr>
              <w:t>ДЗС</w:t>
            </w:r>
          </w:p>
        </w:tc>
        <w:tc>
          <w:tcPr>
            <w:tcW w:w="1152" w:type="dxa"/>
            <w:tcMar>
              <w:top w:w="50" w:type="dxa"/>
              <w:left w:w="55" w:type="dxa"/>
              <w:bottom w:w="50" w:type="dxa"/>
              <w:right w:w="55" w:type="dxa"/>
            </w:tcMar>
          </w:tcPr>
          <w:p w14:paraId="6BE50860"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Q2 2027</w:t>
            </w:r>
          </w:p>
        </w:tc>
        <w:tc>
          <w:tcPr>
            <w:tcW w:w="1299" w:type="dxa"/>
            <w:tcMar>
              <w:top w:w="50" w:type="dxa"/>
              <w:left w:w="55" w:type="dxa"/>
              <w:bottom w:w="50" w:type="dxa"/>
              <w:right w:w="55" w:type="dxa"/>
            </w:tcMar>
          </w:tcPr>
          <w:p w14:paraId="4C7F42D6"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Q4 2028</w:t>
            </w:r>
          </w:p>
        </w:tc>
        <w:tc>
          <w:tcPr>
            <w:tcW w:w="1501" w:type="dxa"/>
            <w:tcMar>
              <w:top w:w="50" w:type="dxa"/>
              <w:left w:w="55" w:type="dxa"/>
              <w:bottom w:w="50" w:type="dxa"/>
              <w:right w:w="55" w:type="dxa"/>
            </w:tcMar>
          </w:tcPr>
          <w:p w14:paraId="4933E9A1" w14:textId="7EB5CE42" w:rsidR="00FE200F" w:rsidRDefault="00015530">
            <w:pPr>
              <w:spacing w:line="216" w:lineRule="auto"/>
              <w:rPr>
                <w:rFonts w:ascii="Times New Roman" w:hAnsi="Times New Roman" w:cs="Times New Roman"/>
                <w:sz w:val="16"/>
                <w:szCs w:val="16"/>
              </w:rPr>
            </w:pPr>
            <w:r>
              <w:rPr>
                <w:rFonts w:ascii="Times New Roman" w:eastAsia="Arial" w:hAnsi="Times New Roman" w:cs="Times New Roman"/>
                <w:sz w:val="16"/>
                <w:szCs w:val="16"/>
              </w:rPr>
              <w:t>3.000.000</w:t>
            </w:r>
          </w:p>
        </w:tc>
        <w:tc>
          <w:tcPr>
            <w:tcW w:w="1699" w:type="dxa"/>
            <w:tcMar>
              <w:top w:w="50" w:type="dxa"/>
              <w:left w:w="55" w:type="dxa"/>
              <w:bottom w:w="50" w:type="dxa"/>
              <w:right w:w="55" w:type="dxa"/>
            </w:tcMar>
          </w:tcPr>
          <w:p w14:paraId="67968FD1"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Буџет на РСМ</w:t>
            </w:r>
          </w:p>
        </w:tc>
        <w:tc>
          <w:tcPr>
            <w:tcW w:w="3346" w:type="dxa"/>
            <w:vMerge/>
            <w:tcMar>
              <w:top w:w="50" w:type="dxa"/>
              <w:left w:w="55" w:type="dxa"/>
              <w:bottom w:w="50" w:type="dxa"/>
              <w:right w:w="55" w:type="dxa"/>
            </w:tcMar>
          </w:tcPr>
          <w:p w14:paraId="161825F6" w14:textId="77777777" w:rsidR="00FE200F" w:rsidRDefault="00FE200F">
            <w:pPr>
              <w:rPr>
                <w:rFonts w:ascii="Times New Roman" w:hAnsi="Times New Roman" w:cs="Times New Roman"/>
                <w:sz w:val="16"/>
                <w:szCs w:val="16"/>
              </w:rPr>
            </w:pPr>
          </w:p>
        </w:tc>
      </w:tr>
      <w:tr w:rsidR="00FE200F" w14:paraId="655D55D1" w14:textId="77777777">
        <w:trPr>
          <w:cantSplit/>
          <w:jc w:val="center"/>
        </w:trPr>
        <w:tc>
          <w:tcPr>
            <w:tcW w:w="1900" w:type="dxa"/>
            <w:vMerge/>
            <w:tcMar>
              <w:top w:w="50" w:type="dxa"/>
              <w:left w:w="55" w:type="dxa"/>
              <w:bottom w:w="50" w:type="dxa"/>
              <w:right w:w="55" w:type="dxa"/>
            </w:tcMar>
          </w:tcPr>
          <w:p w14:paraId="201F1E45" w14:textId="77777777" w:rsidR="00FE200F" w:rsidRDefault="00FE200F">
            <w:pPr>
              <w:rPr>
                <w:rFonts w:ascii="Times New Roman" w:hAnsi="Times New Roman" w:cs="Times New Roman"/>
                <w:sz w:val="16"/>
                <w:szCs w:val="16"/>
              </w:rPr>
            </w:pPr>
          </w:p>
        </w:tc>
        <w:tc>
          <w:tcPr>
            <w:tcW w:w="3202" w:type="dxa"/>
            <w:vAlign w:val="center"/>
          </w:tcPr>
          <w:p w14:paraId="64D908E4"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А4.2.1.3. Воведување на метаподатоци и квалитетни стандарди (DCAT-AP)</w:t>
            </w:r>
          </w:p>
        </w:tc>
        <w:tc>
          <w:tcPr>
            <w:tcW w:w="1899" w:type="dxa"/>
            <w:tcMar>
              <w:top w:w="50" w:type="dxa"/>
              <w:left w:w="55" w:type="dxa"/>
              <w:bottom w:w="50" w:type="dxa"/>
              <w:right w:w="55" w:type="dxa"/>
            </w:tcMar>
          </w:tcPr>
          <w:p w14:paraId="75370C22"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МДТ</w:t>
            </w:r>
            <w:r>
              <w:rPr>
                <w:rFonts w:ascii="Times New Roman" w:hAnsi="Times New Roman" w:cs="Times New Roman"/>
                <w:sz w:val="16"/>
                <w:szCs w:val="16"/>
              </w:rPr>
              <w:br/>
            </w:r>
            <w:r>
              <w:rPr>
                <w:rFonts w:ascii="Times New Roman" w:eastAsia="Arial" w:hAnsi="Times New Roman" w:cs="Times New Roman"/>
                <w:sz w:val="16"/>
                <w:szCs w:val="16"/>
              </w:rPr>
              <w:t>ДЗС</w:t>
            </w:r>
          </w:p>
        </w:tc>
        <w:tc>
          <w:tcPr>
            <w:tcW w:w="1152" w:type="dxa"/>
            <w:tcMar>
              <w:top w:w="50" w:type="dxa"/>
              <w:left w:w="55" w:type="dxa"/>
              <w:bottom w:w="50" w:type="dxa"/>
              <w:right w:w="55" w:type="dxa"/>
            </w:tcMar>
          </w:tcPr>
          <w:p w14:paraId="5BD9777A"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Q2 2027</w:t>
            </w:r>
          </w:p>
        </w:tc>
        <w:tc>
          <w:tcPr>
            <w:tcW w:w="1299" w:type="dxa"/>
            <w:tcMar>
              <w:top w:w="50" w:type="dxa"/>
              <w:left w:w="55" w:type="dxa"/>
              <w:bottom w:w="50" w:type="dxa"/>
              <w:right w:w="55" w:type="dxa"/>
            </w:tcMar>
          </w:tcPr>
          <w:p w14:paraId="40C95837"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Q4 2028</w:t>
            </w:r>
          </w:p>
        </w:tc>
        <w:tc>
          <w:tcPr>
            <w:tcW w:w="1501" w:type="dxa"/>
            <w:tcMar>
              <w:top w:w="50" w:type="dxa"/>
              <w:left w:w="55" w:type="dxa"/>
              <w:bottom w:w="50" w:type="dxa"/>
              <w:right w:w="55" w:type="dxa"/>
            </w:tcMar>
          </w:tcPr>
          <w:p w14:paraId="074A081B" w14:textId="3E8A5A0C" w:rsidR="00FE200F" w:rsidRDefault="00015530">
            <w:pPr>
              <w:spacing w:line="216" w:lineRule="auto"/>
              <w:rPr>
                <w:rFonts w:ascii="Times New Roman" w:hAnsi="Times New Roman" w:cs="Times New Roman"/>
                <w:sz w:val="16"/>
                <w:szCs w:val="16"/>
              </w:rPr>
            </w:pPr>
            <w:r>
              <w:rPr>
                <w:rFonts w:ascii="Times New Roman" w:eastAsia="Arial" w:hAnsi="Times New Roman" w:cs="Times New Roman"/>
                <w:sz w:val="16"/>
                <w:szCs w:val="16"/>
              </w:rPr>
              <w:t>3.000.000</w:t>
            </w:r>
          </w:p>
        </w:tc>
        <w:tc>
          <w:tcPr>
            <w:tcW w:w="1699" w:type="dxa"/>
            <w:tcMar>
              <w:top w:w="50" w:type="dxa"/>
              <w:left w:w="55" w:type="dxa"/>
              <w:bottom w:w="50" w:type="dxa"/>
              <w:right w:w="55" w:type="dxa"/>
            </w:tcMar>
          </w:tcPr>
          <w:p w14:paraId="3E25AA48"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Буџет на РСМ</w:t>
            </w:r>
          </w:p>
        </w:tc>
        <w:tc>
          <w:tcPr>
            <w:tcW w:w="3346" w:type="dxa"/>
            <w:vMerge/>
            <w:tcMar>
              <w:top w:w="50" w:type="dxa"/>
              <w:left w:w="55" w:type="dxa"/>
              <w:bottom w:w="50" w:type="dxa"/>
              <w:right w:w="55" w:type="dxa"/>
            </w:tcMar>
          </w:tcPr>
          <w:p w14:paraId="46026805" w14:textId="77777777" w:rsidR="00FE200F" w:rsidRDefault="00FE200F">
            <w:pPr>
              <w:rPr>
                <w:rFonts w:ascii="Times New Roman" w:hAnsi="Times New Roman" w:cs="Times New Roman"/>
                <w:sz w:val="16"/>
                <w:szCs w:val="16"/>
              </w:rPr>
            </w:pPr>
          </w:p>
        </w:tc>
      </w:tr>
      <w:tr w:rsidR="00FE200F" w14:paraId="19A9E3D9" w14:textId="77777777">
        <w:trPr>
          <w:cantSplit/>
          <w:jc w:val="center"/>
        </w:trPr>
        <w:tc>
          <w:tcPr>
            <w:tcW w:w="8153" w:type="dxa"/>
            <w:gridSpan w:val="4"/>
            <w:shd w:val="clear" w:color="auto" w:fill="E7E6E6"/>
            <w:vAlign w:val="center"/>
          </w:tcPr>
          <w:p w14:paraId="48B21023"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b/>
                <w:sz w:val="16"/>
                <w:szCs w:val="16"/>
              </w:rPr>
              <w:t>Посебна цел 4.3. Сајбер-безбедност и отпорност на ВИ инфраструктурата</w:t>
            </w:r>
          </w:p>
        </w:tc>
        <w:tc>
          <w:tcPr>
            <w:tcW w:w="7845" w:type="dxa"/>
            <w:gridSpan w:val="4"/>
            <w:shd w:val="clear" w:color="auto" w:fill="F2F2F2"/>
            <w:vAlign w:val="center"/>
          </w:tcPr>
          <w:p w14:paraId="7221E70D"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ПОКАЗАТЕЛ НА ИСХОД: Воспоставени контроли за безбедност и отпорност на ВИ системите.Почетна вредност (2027): Нема ВИ-специфични протоколи или</w:t>
            </w:r>
            <w:r>
              <w:rPr>
                <w:rFonts w:ascii="Times New Roman" w:eastAsia="Arial" w:hAnsi="Times New Roman" w:cs="Times New Roman"/>
                <w:sz w:val="16"/>
                <w:szCs w:val="16"/>
              </w:rPr>
              <w:t xml:space="preserve"> систематски ревизии.Преодна вредност (2028): 2 протоколи, 2 ревизии и 10 обучени CSIRT членови. Крајна вредност (2029): 3 протоколи, 3 ревизии и 20 обучени CSIRT членови.</w:t>
            </w:r>
          </w:p>
        </w:tc>
      </w:tr>
      <w:tr w:rsidR="00FE200F" w14:paraId="75D3D2F9" w14:textId="77777777">
        <w:trPr>
          <w:cantSplit/>
          <w:jc w:val="center"/>
        </w:trPr>
        <w:tc>
          <w:tcPr>
            <w:tcW w:w="1900" w:type="dxa"/>
            <w:vMerge w:val="restart"/>
            <w:vAlign w:val="center"/>
          </w:tcPr>
          <w:p w14:paraId="2596B48E"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b/>
                <w:sz w:val="16"/>
                <w:szCs w:val="16"/>
              </w:rPr>
              <w:t>М4.3.1. Зајакнување на сајбер-безбедноста на ВИ системите</w:t>
            </w:r>
          </w:p>
        </w:tc>
        <w:tc>
          <w:tcPr>
            <w:tcW w:w="3202" w:type="dxa"/>
            <w:vAlign w:val="center"/>
          </w:tcPr>
          <w:p w14:paraId="21997252"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 xml:space="preserve">А4.3.1.1. Изработка на </w:t>
            </w:r>
            <w:r>
              <w:rPr>
                <w:rFonts w:ascii="Times New Roman" w:eastAsia="Arial" w:hAnsi="Times New Roman" w:cs="Times New Roman"/>
                <w:sz w:val="16"/>
                <w:szCs w:val="16"/>
              </w:rPr>
              <w:t>протоколи за безбедност специфични за ВИ системи</w:t>
            </w:r>
          </w:p>
        </w:tc>
        <w:tc>
          <w:tcPr>
            <w:tcW w:w="1899" w:type="dxa"/>
            <w:vAlign w:val="center"/>
          </w:tcPr>
          <w:p w14:paraId="16C37940"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MKD-C</w:t>
            </w:r>
            <w:r>
              <w:rPr>
                <w:rFonts w:ascii="Times New Roman" w:hAnsi="Times New Roman" w:cs="Times New Roman"/>
                <w:sz w:val="16"/>
                <w:szCs w:val="16"/>
              </w:rPr>
              <w:br/>
            </w:r>
            <w:r>
              <w:rPr>
                <w:rFonts w:ascii="Times New Roman" w:eastAsia="Arial" w:hAnsi="Times New Roman" w:cs="Times New Roman"/>
                <w:sz w:val="16"/>
                <w:szCs w:val="16"/>
              </w:rPr>
              <w:t>CSIRT</w:t>
            </w:r>
            <w:r>
              <w:rPr>
                <w:rFonts w:ascii="Times New Roman" w:hAnsi="Times New Roman" w:cs="Times New Roman"/>
                <w:sz w:val="16"/>
                <w:szCs w:val="16"/>
              </w:rPr>
              <w:br/>
            </w:r>
            <w:r>
              <w:rPr>
                <w:rFonts w:ascii="Times New Roman" w:eastAsia="Arial" w:hAnsi="Times New Roman" w:cs="Times New Roman"/>
                <w:sz w:val="16"/>
                <w:szCs w:val="16"/>
              </w:rPr>
              <w:t>МДТ</w:t>
            </w:r>
          </w:p>
        </w:tc>
        <w:tc>
          <w:tcPr>
            <w:tcW w:w="1152" w:type="dxa"/>
            <w:vAlign w:val="center"/>
          </w:tcPr>
          <w:p w14:paraId="640F4E56"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Q1 2028</w:t>
            </w:r>
          </w:p>
        </w:tc>
        <w:tc>
          <w:tcPr>
            <w:tcW w:w="1299" w:type="dxa"/>
            <w:vAlign w:val="center"/>
          </w:tcPr>
          <w:p w14:paraId="3A3D1B06"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Q4 2029</w:t>
            </w:r>
          </w:p>
        </w:tc>
        <w:tc>
          <w:tcPr>
            <w:tcW w:w="1501" w:type="dxa"/>
            <w:vAlign w:val="center"/>
          </w:tcPr>
          <w:p w14:paraId="55429097" w14:textId="10FD684B" w:rsidR="00FE200F" w:rsidRDefault="00015530">
            <w:pPr>
              <w:spacing w:line="216" w:lineRule="auto"/>
              <w:rPr>
                <w:rFonts w:ascii="Times New Roman" w:hAnsi="Times New Roman" w:cs="Times New Roman"/>
                <w:sz w:val="16"/>
                <w:szCs w:val="16"/>
              </w:rPr>
            </w:pPr>
            <w:r>
              <w:rPr>
                <w:rFonts w:ascii="Times New Roman" w:eastAsia="Arial" w:hAnsi="Times New Roman" w:cs="Times New Roman"/>
                <w:sz w:val="16"/>
                <w:szCs w:val="16"/>
              </w:rPr>
              <w:t>6.000.000</w:t>
            </w:r>
          </w:p>
        </w:tc>
        <w:tc>
          <w:tcPr>
            <w:tcW w:w="1699" w:type="dxa"/>
            <w:tcMar>
              <w:top w:w="40" w:type="dxa"/>
              <w:left w:w="50" w:type="dxa"/>
              <w:bottom w:w="40" w:type="dxa"/>
              <w:right w:w="50" w:type="dxa"/>
            </w:tcMar>
            <w:vAlign w:val="center"/>
          </w:tcPr>
          <w:p w14:paraId="75B1E1C5"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Буџет на РСМ /</w:t>
            </w:r>
            <w:r>
              <w:rPr>
                <w:rFonts w:ascii="Times New Roman" w:hAnsi="Times New Roman" w:cs="Times New Roman"/>
                <w:sz w:val="16"/>
                <w:szCs w:val="16"/>
              </w:rPr>
              <w:br/>
            </w:r>
            <w:r>
              <w:rPr>
                <w:rFonts w:ascii="Times New Roman" w:eastAsia="Arial" w:hAnsi="Times New Roman" w:cs="Times New Roman"/>
                <w:sz w:val="16"/>
                <w:szCs w:val="16"/>
              </w:rPr>
              <w:t>НАТО Програма „Наука за мир и безбедност“ (SPS) – предмет на одобрено проектно финансирање</w:t>
            </w:r>
          </w:p>
        </w:tc>
        <w:tc>
          <w:tcPr>
            <w:tcW w:w="3346" w:type="dxa"/>
            <w:vMerge w:val="restart"/>
            <w:tcMar>
              <w:top w:w="35" w:type="dxa"/>
              <w:left w:w="45" w:type="dxa"/>
              <w:bottom w:w="35" w:type="dxa"/>
              <w:right w:w="45" w:type="dxa"/>
            </w:tcMar>
            <w:vAlign w:val="center"/>
          </w:tcPr>
          <w:p w14:paraId="442F3881"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 xml:space="preserve">Показател на резултат: ВИ-специфични протоколи, ревизии и </w:t>
            </w:r>
            <w:r>
              <w:rPr>
                <w:rFonts w:ascii="Times New Roman" w:eastAsia="Arial" w:hAnsi="Times New Roman" w:cs="Times New Roman"/>
                <w:sz w:val="16"/>
                <w:szCs w:val="16"/>
              </w:rPr>
              <w:t>обучени CSIRT експерти.</w:t>
            </w:r>
          </w:p>
          <w:p w14:paraId="629782F4"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Почетна вредност (2027): 0 протоколи, 0 ревизии и 0 обучени членови.</w:t>
            </w:r>
          </w:p>
          <w:p w14:paraId="6987BF87"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 xml:space="preserve">Преодна вредност (2028): 2 протоколи, 2 ревизии и 10 обучени членови. </w:t>
            </w:r>
          </w:p>
          <w:p w14:paraId="17CB85AC" w14:textId="77777777" w:rsidR="00FE200F" w:rsidRDefault="00E77CAF">
            <w:pPr>
              <w:spacing w:line="216" w:lineRule="auto"/>
              <w:rPr>
                <w:rFonts w:ascii="Times New Roman" w:hAnsi="Times New Roman" w:cs="Times New Roman"/>
                <w:sz w:val="16"/>
                <w:szCs w:val="16"/>
                <w:lang w:val="mk-MK"/>
              </w:rPr>
            </w:pPr>
            <w:r>
              <w:rPr>
                <w:rFonts w:ascii="Times New Roman" w:eastAsia="Arial" w:hAnsi="Times New Roman" w:cs="Times New Roman"/>
                <w:sz w:val="16"/>
                <w:szCs w:val="16"/>
              </w:rPr>
              <w:t>Крајна вредност (2029): 3 протоколи, 3 ревизии и 20 обучени членови.</w:t>
            </w:r>
          </w:p>
        </w:tc>
      </w:tr>
      <w:tr w:rsidR="00FE200F" w14:paraId="760AA295" w14:textId="77777777">
        <w:trPr>
          <w:cantSplit/>
          <w:jc w:val="center"/>
        </w:trPr>
        <w:tc>
          <w:tcPr>
            <w:tcW w:w="1900" w:type="dxa"/>
            <w:vMerge/>
            <w:tcMar>
              <w:top w:w="50" w:type="dxa"/>
              <w:left w:w="55" w:type="dxa"/>
              <w:bottom w:w="50" w:type="dxa"/>
              <w:right w:w="55" w:type="dxa"/>
            </w:tcMar>
          </w:tcPr>
          <w:p w14:paraId="5A51A333" w14:textId="77777777" w:rsidR="00FE200F" w:rsidRDefault="00FE200F">
            <w:pPr>
              <w:rPr>
                <w:rFonts w:ascii="Times New Roman" w:hAnsi="Times New Roman" w:cs="Times New Roman"/>
                <w:sz w:val="16"/>
                <w:szCs w:val="16"/>
              </w:rPr>
            </w:pPr>
          </w:p>
        </w:tc>
        <w:tc>
          <w:tcPr>
            <w:tcW w:w="3202" w:type="dxa"/>
            <w:vAlign w:val="center"/>
          </w:tcPr>
          <w:p w14:paraId="08EEC867"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 xml:space="preserve">А4.3.1.2. </w:t>
            </w:r>
            <w:r>
              <w:rPr>
                <w:rFonts w:ascii="Times New Roman" w:eastAsia="Arial" w:hAnsi="Times New Roman" w:cs="Times New Roman"/>
                <w:sz w:val="16"/>
                <w:szCs w:val="16"/>
              </w:rPr>
              <w:t>Спроведување на годишни безбедносни ревизии (penetration testing)</w:t>
            </w:r>
          </w:p>
        </w:tc>
        <w:tc>
          <w:tcPr>
            <w:tcW w:w="1899" w:type="dxa"/>
            <w:tcMar>
              <w:top w:w="50" w:type="dxa"/>
              <w:left w:w="55" w:type="dxa"/>
              <w:bottom w:w="50" w:type="dxa"/>
              <w:right w:w="55" w:type="dxa"/>
            </w:tcMar>
          </w:tcPr>
          <w:p w14:paraId="4B8AC7F9"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MKD-C</w:t>
            </w:r>
            <w:r>
              <w:rPr>
                <w:rFonts w:ascii="Times New Roman" w:hAnsi="Times New Roman" w:cs="Times New Roman"/>
                <w:sz w:val="16"/>
                <w:szCs w:val="16"/>
              </w:rPr>
              <w:br/>
            </w:r>
            <w:r>
              <w:rPr>
                <w:rFonts w:ascii="Times New Roman" w:eastAsia="Arial" w:hAnsi="Times New Roman" w:cs="Times New Roman"/>
                <w:sz w:val="16"/>
                <w:szCs w:val="16"/>
              </w:rPr>
              <w:t>CSIRT</w:t>
            </w:r>
            <w:r>
              <w:rPr>
                <w:rFonts w:ascii="Times New Roman" w:hAnsi="Times New Roman" w:cs="Times New Roman"/>
                <w:sz w:val="16"/>
                <w:szCs w:val="16"/>
              </w:rPr>
              <w:br/>
            </w:r>
            <w:r>
              <w:rPr>
                <w:rFonts w:ascii="Times New Roman" w:eastAsia="Arial" w:hAnsi="Times New Roman" w:cs="Times New Roman"/>
                <w:sz w:val="16"/>
                <w:szCs w:val="16"/>
              </w:rPr>
              <w:t>МДТ</w:t>
            </w:r>
          </w:p>
        </w:tc>
        <w:tc>
          <w:tcPr>
            <w:tcW w:w="1152" w:type="dxa"/>
            <w:tcMar>
              <w:top w:w="50" w:type="dxa"/>
              <w:left w:w="55" w:type="dxa"/>
              <w:bottom w:w="50" w:type="dxa"/>
              <w:right w:w="55" w:type="dxa"/>
            </w:tcMar>
          </w:tcPr>
          <w:p w14:paraId="262669E9"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Q1 2028</w:t>
            </w:r>
          </w:p>
        </w:tc>
        <w:tc>
          <w:tcPr>
            <w:tcW w:w="1299" w:type="dxa"/>
            <w:tcMar>
              <w:top w:w="50" w:type="dxa"/>
              <w:left w:w="55" w:type="dxa"/>
              <w:bottom w:w="50" w:type="dxa"/>
              <w:right w:w="55" w:type="dxa"/>
            </w:tcMar>
          </w:tcPr>
          <w:p w14:paraId="2AB9C9F1"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Q4 2029</w:t>
            </w:r>
          </w:p>
        </w:tc>
        <w:tc>
          <w:tcPr>
            <w:tcW w:w="1501" w:type="dxa"/>
            <w:tcMar>
              <w:top w:w="50" w:type="dxa"/>
              <w:left w:w="55" w:type="dxa"/>
              <w:bottom w:w="50" w:type="dxa"/>
              <w:right w:w="55" w:type="dxa"/>
            </w:tcMar>
          </w:tcPr>
          <w:p w14:paraId="3484E22A" w14:textId="7D558EE0" w:rsidR="00FE200F" w:rsidRDefault="00015530">
            <w:pPr>
              <w:spacing w:line="216" w:lineRule="auto"/>
              <w:rPr>
                <w:rFonts w:ascii="Times New Roman" w:hAnsi="Times New Roman" w:cs="Times New Roman"/>
                <w:sz w:val="16"/>
                <w:szCs w:val="16"/>
              </w:rPr>
            </w:pPr>
            <w:r>
              <w:rPr>
                <w:rFonts w:ascii="Times New Roman" w:eastAsia="Arial" w:hAnsi="Times New Roman" w:cs="Times New Roman"/>
                <w:sz w:val="16"/>
                <w:szCs w:val="16"/>
              </w:rPr>
              <w:t>6.000.000</w:t>
            </w:r>
          </w:p>
        </w:tc>
        <w:tc>
          <w:tcPr>
            <w:tcW w:w="1699" w:type="dxa"/>
            <w:tcMar>
              <w:top w:w="50" w:type="dxa"/>
              <w:left w:w="55" w:type="dxa"/>
              <w:bottom w:w="50" w:type="dxa"/>
              <w:right w:w="55" w:type="dxa"/>
            </w:tcMar>
          </w:tcPr>
          <w:p w14:paraId="68E54743"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Буџет на РСМ /</w:t>
            </w:r>
            <w:r>
              <w:rPr>
                <w:rFonts w:ascii="Times New Roman" w:hAnsi="Times New Roman" w:cs="Times New Roman"/>
                <w:sz w:val="16"/>
                <w:szCs w:val="16"/>
              </w:rPr>
              <w:br/>
            </w:r>
            <w:r>
              <w:rPr>
                <w:rFonts w:ascii="Times New Roman" w:eastAsia="Arial" w:hAnsi="Times New Roman" w:cs="Times New Roman"/>
                <w:sz w:val="16"/>
                <w:szCs w:val="16"/>
              </w:rPr>
              <w:t>НАТО Програма „Наука за мир и безбедност“ (SPS) – предмет на одобрено проектно финансирање</w:t>
            </w:r>
          </w:p>
        </w:tc>
        <w:tc>
          <w:tcPr>
            <w:tcW w:w="3346" w:type="dxa"/>
            <w:vMerge/>
            <w:tcMar>
              <w:top w:w="50" w:type="dxa"/>
              <w:left w:w="55" w:type="dxa"/>
              <w:bottom w:w="50" w:type="dxa"/>
              <w:right w:w="55" w:type="dxa"/>
            </w:tcMar>
          </w:tcPr>
          <w:p w14:paraId="3EEBC5A8" w14:textId="77777777" w:rsidR="00FE200F" w:rsidRDefault="00FE200F">
            <w:pPr>
              <w:rPr>
                <w:rFonts w:ascii="Times New Roman" w:hAnsi="Times New Roman" w:cs="Times New Roman"/>
                <w:sz w:val="16"/>
                <w:szCs w:val="16"/>
              </w:rPr>
            </w:pPr>
          </w:p>
        </w:tc>
      </w:tr>
      <w:tr w:rsidR="00FE200F" w14:paraId="0322C979" w14:textId="77777777">
        <w:trPr>
          <w:cantSplit/>
          <w:jc w:val="center"/>
        </w:trPr>
        <w:tc>
          <w:tcPr>
            <w:tcW w:w="1900" w:type="dxa"/>
            <w:vMerge/>
            <w:tcMar>
              <w:top w:w="50" w:type="dxa"/>
              <w:left w:w="55" w:type="dxa"/>
              <w:bottom w:w="50" w:type="dxa"/>
              <w:right w:w="55" w:type="dxa"/>
            </w:tcMar>
          </w:tcPr>
          <w:p w14:paraId="110C2531" w14:textId="77777777" w:rsidR="00FE200F" w:rsidRDefault="00FE200F">
            <w:pPr>
              <w:rPr>
                <w:rFonts w:ascii="Times New Roman" w:hAnsi="Times New Roman" w:cs="Times New Roman"/>
                <w:sz w:val="16"/>
                <w:szCs w:val="16"/>
              </w:rPr>
            </w:pPr>
          </w:p>
        </w:tc>
        <w:tc>
          <w:tcPr>
            <w:tcW w:w="3202" w:type="dxa"/>
            <w:vAlign w:val="center"/>
          </w:tcPr>
          <w:p w14:paraId="19FB9468"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 xml:space="preserve">А4.3.1.3. Обука на CSIRT тимот за </w:t>
            </w:r>
            <w:r>
              <w:rPr>
                <w:rFonts w:ascii="Times New Roman" w:eastAsia="Arial" w:hAnsi="Times New Roman" w:cs="Times New Roman"/>
                <w:sz w:val="16"/>
                <w:szCs w:val="16"/>
              </w:rPr>
              <w:t>ВИ-специфични закани</w:t>
            </w:r>
          </w:p>
        </w:tc>
        <w:tc>
          <w:tcPr>
            <w:tcW w:w="1899" w:type="dxa"/>
            <w:tcMar>
              <w:top w:w="50" w:type="dxa"/>
              <w:left w:w="55" w:type="dxa"/>
              <w:bottom w:w="50" w:type="dxa"/>
              <w:right w:w="55" w:type="dxa"/>
            </w:tcMar>
          </w:tcPr>
          <w:p w14:paraId="637917D2"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MKD-C</w:t>
            </w:r>
            <w:r>
              <w:rPr>
                <w:rFonts w:ascii="Times New Roman" w:hAnsi="Times New Roman" w:cs="Times New Roman"/>
                <w:sz w:val="16"/>
                <w:szCs w:val="16"/>
              </w:rPr>
              <w:br/>
            </w:r>
            <w:r>
              <w:rPr>
                <w:rFonts w:ascii="Times New Roman" w:eastAsia="Arial" w:hAnsi="Times New Roman" w:cs="Times New Roman"/>
                <w:sz w:val="16"/>
                <w:szCs w:val="16"/>
              </w:rPr>
              <w:t>CSIRT</w:t>
            </w:r>
            <w:r>
              <w:rPr>
                <w:rFonts w:ascii="Times New Roman" w:hAnsi="Times New Roman" w:cs="Times New Roman"/>
                <w:sz w:val="16"/>
                <w:szCs w:val="16"/>
              </w:rPr>
              <w:br/>
            </w:r>
            <w:r>
              <w:rPr>
                <w:rFonts w:ascii="Times New Roman" w:eastAsia="Arial" w:hAnsi="Times New Roman" w:cs="Times New Roman"/>
                <w:sz w:val="16"/>
                <w:szCs w:val="16"/>
              </w:rPr>
              <w:t>МДТ</w:t>
            </w:r>
          </w:p>
        </w:tc>
        <w:tc>
          <w:tcPr>
            <w:tcW w:w="1152" w:type="dxa"/>
            <w:tcMar>
              <w:top w:w="50" w:type="dxa"/>
              <w:left w:w="55" w:type="dxa"/>
              <w:bottom w:w="50" w:type="dxa"/>
              <w:right w:w="55" w:type="dxa"/>
            </w:tcMar>
          </w:tcPr>
          <w:p w14:paraId="3793BC6A"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Q1 2028</w:t>
            </w:r>
          </w:p>
        </w:tc>
        <w:tc>
          <w:tcPr>
            <w:tcW w:w="1299" w:type="dxa"/>
            <w:tcMar>
              <w:top w:w="50" w:type="dxa"/>
              <w:left w:w="55" w:type="dxa"/>
              <w:bottom w:w="50" w:type="dxa"/>
              <w:right w:w="55" w:type="dxa"/>
            </w:tcMar>
          </w:tcPr>
          <w:p w14:paraId="39B00247"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Q4 2029</w:t>
            </w:r>
          </w:p>
        </w:tc>
        <w:tc>
          <w:tcPr>
            <w:tcW w:w="1501" w:type="dxa"/>
            <w:tcMar>
              <w:top w:w="50" w:type="dxa"/>
              <w:left w:w="55" w:type="dxa"/>
              <w:bottom w:w="50" w:type="dxa"/>
              <w:right w:w="55" w:type="dxa"/>
            </w:tcMar>
          </w:tcPr>
          <w:p w14:paraId="30543A7B" w14:textId="79C4A971" w:rsidR="00FE200F" w:rsidRDefault="00015530">
            <w:pPr>
              <w:spacing w:line="216" w:lineRule="auto"/>
              <w:rPr>
                <w:rFonts w:ascii="Times New Roman" w:hAnsi="Times New Roman" w:cs="Times New Roman"/>
                <w:sz w:val="16"/>
                <w:szCs w:val="16"/>
              </w:rPr>
            </w:pPr>
            <w:r>
              <w:rPr>
                <w:rFonts w:ascii="Times New Roman" w:eastAsia="Arial" w:hAnsi="Times New Roman" w:cs="Times New Roman"/>
                <w:sz w:val="16"/>
                <w:szCs w:val="16"/>
              </w:rPr>
              <w:t>1.000.000</w:t>
            </w:r>
          </w:p>
        </w:tc>
        <w:tc>
          <w:tcPr>
            <w:tcW w:w="1699" w:type="dxa"/>
            <w:tcMar>
              <w:top w:w="50" w:type="dxa"/>
              <w:left w:w="55" w:type="dxa"/>
              <w:bottom w:w="50" w:type="dxa"/>
              <w:right w:w="55" w:type="dxa"/>
            </w:tcMar>
          </w:tcPr>
          <w:p w14:paraId="2A544E9C"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Буџет на РСМ /</w:t>
            </w:r>
            <w:r>
              <w:rPr>
                <w:rFonts w:ascii="Times New Roman" w:hAnsi="Times New Roman" w:cs="Times New Roman"/>
                <w:sz w:val="16"/>
                <w:szCs w:val="16"/>
              </w:rPr>
              <w:br/>
            </w:r>
            <w:r>
              <w:rPr>
                <w:rFonts w:ascii="Times New Roman" w:eastAsia="Arial" w:hAnsi="Times New Roman" w:cs="Times New Roman"/>
                <w:sz w:val="16"/>
                <w:szCs w:val="16"/>
              </w:rPr>
              <w:t>НАТО Програма „Наука за мир и безбедност“ (SPS) – предмет на одобрено проектно финансирање</w:t>
            </w:r>
          </w:p>
        </w:tc>
        <w:tc>
          <w:tcPr>
            <w:tcW w:w="3346" w:type="dxa"/>
            <w:vMerge/>
            <w:tcMar>
              <w:top w:w="50" w:type="dxa"/>
              <w:left w:w="55" w:type="dxa"/>
              <w:bottom w:w="50" w:type="dxa"/>
              <w:right w:w="55" w:type="dxa"/>
            </w:tcMar>
          </w:tcPr>
          <w:p w14:paraId="7F588CE9" w14:textId="77777777" w:rsidR="00FE200F" w:rsidRDefault="00FE200F">
            <w:pPr>
              <w:rPr>
                <w:rFonts w:ascii="Times New Roman" w:hAnsi="Times New Roman" w:cs="Times New Roman"/>
                <w:sz w:val="16"/>
                <w:szCs w:val="16"/>
              </w:rPr>
            </w:pPr>
          </w:p>
        </w:tc>
      </w:tr>
      <w:tr w:rsidR="00FE200F" w14:paraId="58CCE9D2" w14:textId="77777777">
        <w:trPr>
          <w:cantSplit/>
          <w:jc w:val="center"/>
        </w:trPr>
        <w:tc>
          <w:tcPr>
            <w:tcW w:w="1900" w:type="dxa"/>
            <w:vMerge w:val="restart"/>
            <w:vAlign w:val="center"/>
          </w:tcPr>
          <w:p w14:paraId="6897DFFA"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b/>
                <w:sz w:val="16"/>
                <w:szCs w:val="16"/>
              </w:rPr>
              <w:lastRenderedPageBreak/>
              <w:t>М4.2.2. Македонски стандарди (МКС), спецификации и профили за размена на податоци и В</w:t>
            </w:r>
            <w:r>
              <w:rPr>
                <w:rFonts w:ascii="Times New Roman" w:eastAsia="Arial" w:hAnsi="Times New Roman" w:cs="Times New Roman"/>
                <w:b/>
                <w:sz w:val="16"/>
                <w:szCs w:val="16"/>
              </w:rPr>
              <w:t>И-интероперабилност</w:t>
            </w:r>
          </w:p>
        </w:tc>
        <w:tc>
          <w:tcPr>
            <w:tcW w:w="3202" w:type="dxa"/>
            <w:vAlign w:val="center"/>
          </w:tcPr>
          <w:p w14:paraId="25785C6E"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А4.2.2.1. Изработка и објавување на секторски профил за интероперабилност за размена на податоци и ВИ, усогласен со релевантни европски и меѓународни стандарди, отворени спецификации, семантички модели и протоколи. Профилот содржи точна</w:t>
            </w:r>
            <w:r>
              <w:rPr>
                <w:rFonts w:ascii="Times New Roman" w:eastAsia="Arial" w:hAnsi="Times New Roman" w:cs="Times New Roman"/>
                <w:sz w:val="16"/>
                <w:szCs w:val="16"/>
              </w:rPr>
              <w:t xml:space="preserve"> референца и верзија за секој применет документ, негов издавач и статус, сопственик на референцата, правила за верзионирање, минимални правила за квалитет и метаподатоци, тест-сценарија и критериуми за сообразност. Водечки орган е МДТ; други органи се ИСРС</w:t>
            </w:r>
            <w:r>
              <w:rPr>
                <w:rFonts w:ascii="Times New Roman" w:eastAsia="Arial" w:hAnsi="Times New Roman" w:cs="Times New Roman"/>
                <w:sz w:val="16"/>
                <w:szCs w:val="16"/>
              </w:rPr>
              <w:t xml:space="preserve">М и релевантниот секторски орган или институција. ИСРСМ дава писмено техничко мислење за применливоста и статусот на референците; каде што е оправдано, по постапка на ИСРСМ се разгледува усвојување на релевантен европски или меѓународен стандард како МКС. </w:t>
            </w:r>
            <w:r>
              <w:rPr>
                <w:rFonts w:ascii="Times New Roman" w:eastAsia="Arial" w:hAnsi="Times New Roman" w:cs="Times New Roman"/>
                <w:sz w:val="16"/>
                <w:szCs w:val="16"/>
              </w:rPr>
              <w:t>Држателите на податоците ја задржуваат одговорноста за законитоста, квалитетот и условите за користење на податоците.</w:t>
            </w:r>
          </w:p>
        </w:tc>
        <w:tc>
          <w:tcPr>
            <w:tcW w:w="1899" w:type="dxa"/>
            <w:vAlign w:val="center"/>
          </w:tcPr>
          <w:p w14:paraId="157EB3F1"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МДТ</w:t>
            </w:r>
            <w:r>
              <w:rPr>
                <w:rFonts w:ascii="Times New Roman" w:hAnsi="Times New Roman" w:cs="Times New Roman"/>
                <w:sz w:val="16"/>
                <w:szCs w:val="16"/>
              </w:rPr>
              <w:br/>
            </w:r>
            <w:r>
              <w:rPr>
                <w:rFonts w:ascii="Times New Roman" w:eastAsia="Arial" w:hAnsi="Times New Roman" w:cs="Times New Roman"/>
                <w:sz w:val="16"/>
                <w:szCs w:val="16"/>
              </w:rPr>
              <w:t>ИСРМ</w:t>
            </w:r>
          </w:p>
        </w:tc>
        <w:tc>
          <w:tcPr>
            <w:tcW w:w="1152" w:type="dxa"/>
            <w:vAlign w:val="center"/>
          </w:tcPr>
          <w:p w14:paraId="38C9DF12"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Q2 2028</w:t>
            </w:r>
          </w:p>
        </w:tc>
        <w:tc>
          <w:tcPr>
            <w:tcW w:w="1299" w:type="dxa"/>
            <w:vAlign w:val="center"/>
          </w:tcPr>
          <w:p w14:paraId="337F8A0F"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Q4 2029</w:t>
            </w:r>
          </w:p>
        </w:tc>
        <w:tc>
          <w:tcPr>
            <w:tcW w:w="1501" w:type="dxa"/>
            <w:vAlign w:val="center"/>
          </w:tcPr>
          <w:p w14:paraId="3EE03718"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50.000</w:t>
            </w:r>
          </w:p>
        </w:tc>
        <w:tc>
          <w:tcPr>
            <w:tcW w:w="1699" w:type="dxa"/>
            <w:vAlign w:val="center"/>
          </w:tcPr>
          <w:p w14:paraId="3AAE5ECC"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ИПА III</w:t>
            </w:r>
            <w:r>
              <w:rPr>
                <w:rFonts w:ascii="Times New Roman" w:hAnsi="Times New Roman" w:cs="Times New Roman"/>
                <w:sz w:val="16"/>
                <w:szCs w:val="16"/>
              </w:rPr>
              <w:br/>
            </w:r>
            <w:r>
              <w:rPr>
                <w:rFonts w:ascii="Times New Roman" w:eastAsia="Arial" w:hAnsi="Times New Roman" w:cs="Times New Roman"/>
                <w:sz w:val="16"/>
                <w:szCs w:val="16"/>
              </w:rPr>
              <w:t>Буџет на РСМ</w:t>
            </w:r>
          </w:p>
        </w:tc>
        <w:tc>
          <w:tcPr>
            <w:tcW w:w="3346" w:type="dxa"/>
            <w:vMerge w:val="restart"/>
            <w:tcMar>
              <w:top w:w="35" w:type="dxa"/>
              <w:left w:w="45" w:type="dxa"/>
              <w:bottom w:w="35" w:type="dxa"/>
              <w:right w:w="45" w:type="dxa"/>
            </w:tcMar>
            <w:vAlign w:val="center"/>
          </w:tcPr>
          <w:p w14:paraId="4E779219"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Показател на резултат: Усвоени стандарди и воспоставени Data Spaces.</w:t>
            </w:r>
          </w:p>
          <w:p w14:paraId="5C2CA8B0"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Почетна вредност</w:t>
            </w:r>
            <w:r>
              <w:rPr>
                <w:rFonts w:ascii="Times New Roman" w:eastAsia="Arial" w:hAnsi="Times New Roman" w:cs="Times New Roman"/>
                <w:sz w:val="16"/>
                <w:szCs w:val="16"/>
              </w:rPr>
              <w:t xml:space="preserve"> (2027): 0 стандарди, 0 Data Spaces и 0 поврзани институции.</w:t>
            </w:r>
          </w:p>
          <w:p w14:paraId="38505F73"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 xml:space="preserve">Преодна вредност (2028): 1 стандарди, 1 Data Space и 2 институции. </w:t>
            </w:r>
          </w:p>
          <w:p w14:paraId="7E6A8DC0" w14:textId="77777777" w:rsidR="00FE200F" w:rsidRDefault="00E77CAF">
            <w:pPr>
              <w:spacing w:line="216" w:lineRule="auto"/>
              <w:rPr>
                <w:rFonts w:ascii="Times New Roman" w:hAnsi="Times New Roman" w:cs="Times New Roman"/>
                <w:sz w:val="16"/>
                <w:szCs w:val="16"/>
                <w:lang w:val="mk-MK"/>
              </w:rPr>
            </w:pPr>
            <w:r>
              <w:rPr>
                <w:rFonts w:ascii="Times New Roman" w:eastAsia="Arial" w:hAnsi="Times New Roman" w:cs="Times New Roman"/>
                <w:sz w:val="16"/>
                <w:szCs w:val="16"/>
              </w:rPr>
              <w:t>Крајна вредност (2029): 2 стандарди, 1 Data Space и 5 институции.</w:t>
            </w:r>
          </w:p>
        </w:tc>
      </w:tr>
      <w:tr w:rsidR="00FE200F" w14:paraId="5954396B" w14:textId="77777777">
        <w:trPr>
          <w:cantSplit/>
          <w:jc w:val="center"/>
        </w:trPr>
        <w:tc>
          <w:tcPr>
            <w:tcW w:w="1900" w:type="dxa"/>
            <w:vMerge/>
            <w:tcMar>
              <w:top w:w="50" w:type="dxa"/>
              <w:left w:w="55" w:type="dxa"/>
              <w:bottom w:w="50" w:type="dxa"/>
              <w:right w:w="55" w:type="dxa"/>
            </w:tcMar>
          </w:tcPr>
          <w:p w14:paraId="48330CDB" w14:textId="77777777" w:rsidR="00FE200F" w:rsidRDefault="00FE200F">
            <w:pPr>
              <w:rPr>
                <w:rFonts w:ascii="Times New Roman" w:hAnsi="Times New Roman" w:cs="Times New Roman"/>
                <w:sz w:val="16"/>
                <w:szCs w:val="16"/>
              </w:rPr>
            </w:pPr>
          </w:p>
        </w:tc>
        <w:tc>
          <w:tcPr>
            <w:tcW w:w="3202" w:type="dxa"/>
            <w:vAlign w:val="center"/>
          </w:tcPr>
          <w:p w14:paraId="69811927"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А4.2.2.2. Подготовка и доброволна пилот-примена на секторск</w:t>
            </w:r>
            <w:r>
              <w:rPr>
                <w:rFonts w:ascii="Times New Roman" w:eastAsia="Arial" w:hAnsi="Times New Roman" w:cs="Times New Roman"/>
                <w:sz w:val="16"/>
                <w:szCs w:val="16"/>
              </w:rPr>
              <w:t>и податочен простор во здравството или земјоделството, по избор на сектор врз основа на потврдена потреба, правна и техничка подготвеност и расположливи средства. Пред почетокот на пилотот се утврдуваат секторот и институцијата-водач, намената и правниот р</w:t>
            </w:r>
            <w:r>
              <w:rPr>
                <w:rFonts w:ascii="Times New Roman" w:eastAsia="Arial" w:hAnsi="Times New Roman" w:cs="Times New Roman"/>
                <w:sz w:val="16"/>
                <w:szCs w:val="16"/>
              </w:rPr>
              <w:t>ежим на податоците, држателите на податоците, условите и договорите за пристап, профилот за интероперабилност, безбедносните мерки, правилата за управување, тест-сценаријата и критериумите за прекин или проширување. Пилотот не создава автоматско право на п</w:t>
            </w:r>
            <w:r>
              <w:rPr>
                <w:rFonts w:ascii="Times New Roman" w:eastAsia="Arial" w:hAnsi="Times New Roman" w:cs="Times New Roman"/>
                <w:sz w:val="16"/>
                <w:szCs w:val="16"/>
              </w:rPr>
              <w:t>ристап до заштитени податоци ниту автоматско приклучување кон надворешен податочен простор.</w:t>
            </w:r>
          </w:p>
        </w:tc>
        <w:tc>
          <w:tcPr>
            <w:tcW w:w="1899" w:type="dxa"/>
            <w:tcMar>
              <w:top w:w="50" w:type="dxa"/>
              <w:left w:w="55" w:type="dxa"/>
              <w:bottom w:w="50" w:type="dxa"/>
              <w:right w:w="55" w:type="dxa"/>
            </w:tcMar>
          </w:tcPr>
          <w:p w14:paraId="18AEE714"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МДТ</w:t>
            </w:r>
            <w:r>
              <w:rPr>
                <w:rFonts w:ascii="Times New Roman" w:hAnsi="Times New Roman" w:cs="Times New Roman"/>
                <w:sz w:val="16"/>
                <w:szCs w:val="16"/>
              </w:rPr>
              <w:br/>
            </w:r>
            <w:r>
              <w:rPr>
                <w:rFonts w:ascii="Times New Roman" w:eastAsia="Arial" w:hAnsi="Times New Roman" w:cs="Times New Roman"/>
                <w:sz w:val="16"/>
                <w:szCs w:val="16"/>
              </w:rPr>
              <w:t>ИСРМ</w:t>
            </w:r>
          </w:p>
        </w:tc>
        <w:tc>
          <w:tcPr>
            <w:tcW w:w="1152" w:type="dxa"/>
            <w:tcMar>
              <w:top w:w="50" w:type="dxa"/>
              <w:left w:w="55" w:type="dxa"/>
              <w:bottom w:w="50" w:type="dxa"/>
              <w:right w:w="55" w:type="dxa"/>
            </w:tcMar>
          </w:tcPr>
          <w:p w14:paraId="08E3B20D"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Q2 2028</w:t>
            </w:r>
          </w:p>
        </w:tc>
        <w:tc>
          <w:tcPr>
            <w:tcW w:w="1299" w:type="dxa"/>
            <w:tcMar>
              <w:top w:w="50" w:type="dxa"/>
              <w:left w:w="55" w:type="dxa"/>
              <w:bottom w:w="50" w:type="dxa"/>
              <w:right w:w="55" w:type="dxa"/>
            </w:tcMar>
          </w:tcPr>
          <w:p w14:paraId="223250A6"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Q4 2029</w:t>
            </w:r>
          </w:p>
        </w:tc>
        <w:tc>
          <w:tcPr>
            <w:tcW w:w="1501" w:type="dxa"/>
            <w:tcMar>
              <w:top w:w="50" w:type="dxa"/>
              <w:left w:w="55" w:type="dxa"/>
              <w:bottom w:w="50" w:type="dxa"/>
              <w:right w:w="55" w:type="dxa"/>
            </w:tcMar>
          </w:tcPr>
          <w:p w14:paraId="7F4CC56B"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50.000</w:t>
            </w:r>
          </w:p>
        </w:tc>
        <w:tc>
          <w:tcPr>
            <w:tcW w:w="1699" w:type="dxa"/>
            <w:tcMar>
              <w:top w:w="50" w:type="dxa"/>
              <w:left w:w="55" w:type="dxa"/>
              <w:bottom w:w="50" w:type="dxa"/>
              <w:right w:w="55" w:type="dxa"/>
            </w:tcMar>
          </w:tcPr>
          <w:p w14:paraId="3F3EA743"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ИПА III</w:t>
            </w:r>
            <w:r>
              <w:rPr>
                <w:rFonts w:ascii="Times New Roman" w:hAnsi="Times New Roman" w:cs="Times New Roman"/>
                <w:sz w:val="16"/>
                <w:szCs w:val="16"/>
              </w:rPr>
              <w:br/>
            </w:r>
            <w:r>
              <w:rPr>
                <w:rFonts w:ascii="Times New Roman" w:eastAsia="Arial" w:hAnsi="Times New Roman" w:cs="Times New Roman"/>
                <w:sz w:val="16"/>
                <w:szCs w:val="16"/>
              </w:rPr>
              <w:t>Буџет на РСМ</w:t>
            </w:r>
          </w:p>
        </w:tc>
        <w:tc>
          <w:tcPr>
            <w:tcW w:w="3346" w:type="dxa"/>
            <w:vMerge/>
            <w:tcMar>
              <w:top w:w="50" w:type="dxa"/>
              <w:left w:w="55" w:type="dxa"/>
              <w:bottom w:w="50" w:type="dxa"/>
              <w:right w:w="55" w:type="dxa"/>
            </w:tcMar>
          </w:tcPr>
          <w:p w14:paraId="61A385E3" w14:textId="77777777" w:rsidR="00FE200F" w:rsidRDefault="00FE200F">
            <w:pPr>
              <w:rPr>
                <w:rFonts w:ascii="Times New Roman" w:hAnsi="Times New Roman" w:cs="Times New Roman"/>
                <w:sz w:val="16"/>
                <w:szCs w:val="16"/>
              </w:rPr>
            </w:pPr>
          </w:p>
        </w:tc>
      </w:tr>
    </w:tbl>
    <w:p w14:paraId="0F2BA38D" w14:textId="77777777" w:rsidR="00FE200F" w:rsidRDefault="00FE200F">
      <w:pPr>
        <w:rPr>
          <w:rFonts w:ascii="Times New Roman" w:hAnsi="Times New Roman" w:cs="Times New Roman"/>
          <w:sz w:val="16"/>
          <w:szCs w:val="16"/>
        </w:rPr>
      </w:pPr>
    </w:p>
    <w:tbl>
      <w:tblPr>
        <w:tblStyle w:val="TableGrid"/>
        <w:tblW w:w="16000" w:type="dxa"/>
        <w:jc w:val="center"/>
        <w:tblLayout w:type="fixed"/>
        <w:tblCellMar>
          <w:top w:w="60" w:type="dxa"/>
          <w:left w:w="70" w:type="dxa"/>
          <w:bottom w:w="60" w:type="dxa"/>
          <w:right w:w="70" w:type="dxa"/>
        </w:tblCellMar>
        <w:tblLook w:val="04A0" w:firstRow="1" w:lastRow="0" w:firstColumn="1" w:lastColumn="0" w:noHBand="0" w:noVBand="1"/>
      </w:tblPr>
      <w:tblGrid>
        <w:gridCol w:w="1901"/>
        <w:gridCol w:w="3203"/>
        <w:gridCol w:w="1899"/>
        <w:gridCol w:w="1152"/>
        <w:gridCol w:w="1299"/>
        <w:gridCol w:w="1501"/>
        <w:gridCol w:w="1699"/>
        <w:gridCol w:w="3346"/>
      </w:tblGrid>
      <w:tr w:rsidR="00FE200F" w14:paraId="5BBC158C" w14:textId="77777777" w:rsidTr="000E5E74">
        <w:trPr>
          <w:cantSplit/>
          <w:tblHeader/>
          <w:jc w:val="center"/>
        </w:trPr>
        <w:tc>
          <w:tcPr>
            <w:tcW w:w="1901" w:type="dxa"/>
            <w:shd w:val="clear" w:color="auto" w:fill="4472C4"/>
            <w:vAlign w:val="center"/>
          </w:tcPr>
          <w:p w14:paraId="182E1E5C" w14:textId="77777777" w:rsidR="00FE200F" w:rsidRDefault="00E77CAF">
            <w:pPr>
              <w:spacing w:line="216"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lastRenderedPageBreak/>
              <w:t>Мерки</w:t>
            </w:r>
          </w:p>
        </w:tc>
        <w:tc>
          <w:tcPr>
            <w:tcW w:w="3203" w:type="dxa"/>
            <w:shd w:val="clear" w:color="auto" w:fill="4472C4"/>
            <w:vAlign w:val="center"/>
          </w:tcPr>
          <w:p w14:paraId="3C4F637F" w14:textId="77777777" w:rsidR="00FE200F" w:rsidRDefault="00E77CAF">
            <w:pPr>
              <w:spacing w:line="216"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Активности</w:t>
            </w:r>
          </w:p>
        </w:tc>
        <w:tc>
          <w:tcPr>
            <w:tcW w:w="1899" w:type="dxa"/>
            <w:shd w:val="clear" w:color="auto" w:fill="4472C4"/>
            <w:vAlign w:val="center"/>
          </w:tcPr>
          <w:p w14:paraId="4CA8E231" w14:textId="77777777" w:rsidR="00FE200F" w:rsidRDefault="00E77CAF">
            <w:pPr>
              <w:spacing w:line="216"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Водечки орган /</w:t>
            </w:r>
            <w:r>
              <w:rPr>
                <w:rFonts w:ascii="Times New Roman" w:hAnsi="Times New Roman" w:cs="Times New Roman"/>
                <w:sz w:val="16"/>
                <w:szCs w:val="16"/>
              </w:rPr>
              <w:br/>
            </w:r>
            <w:r>
              <w:rPr>
                <w:rFonts w:ascii="Times New Roman" w:eastAsia="Arial" w:hAnsi="Times New Roman" w:cs="Times New Roman"/>
                <w:b/>
                <w:color w:val="FFFFFF"/>
                <w:sz w:val="16"/>
                <w:szCs w:val="16"/>
              </w:rPr>
              <w:t>Други органи</w:t>
            </w:r>
          </w:p>
        </w:tc>
        <w:tc>
          <w:tcPr>
            <w:tcW w:w="1152" w:type="dxa"/>
            <w:shd w:val="clear" w:color="auto" w:fill="4472C4"/>
            <w:vAlign w:val="center"/>
          </w:tcPr>
          <w:p w14:paraId="05FA5097" w14:textId="77777777" w:rsidR="00FE200F" w:rsidRDefault="00E77CAF">
            <w:pPr>
              <w:spacing w:line="216"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Почетен</w:t>
            </w:r>
            <w:r>
              <w:rPr>
                <w:rFonts w:ascii="Times New Roman" w:hAnsi="Times New Roman" w:cs="Times New Roman"/>
                <w:sz w:val="16"/>
                <w:szCs w:val="16"/>
              </w:rPr>
              <w:br/>
            </w:r>
            <w:r>
              <w:rPr>
                <w:rFonts w:ascii="Times New Roman" w:eastAsia="Arial" w:hAnsi="Times New Roman" w:cs="Times New Roman"/>
                <w:b/>
                <w:color w:val="FFFFFF"/>
                <w:sz w:val="16"/>
                <w:szCs w:val="16"/>
              </w:rPr>
              <w:t>датум</w:t>
            </w:r>
            <w:r>
              <w:rPr>
                <w:rFonts w:ascii="Times New Roman" w:hAnsi="Times New Roman" w:cs="Times New Roman"/>
                <w:sz w:val="16"/>
                <w:szCs w:val="16"/>
              </w:rPr>
              <w:br/>
            </w:r>
            <w:r>
              <w:rPr>
                <w:rFonts w:ascii="Times New Roman" w:eastAsia="Arial" w:hAnsi="Times New Roman" w:cs="Times New Roman"/>
                <w:b/>
                <w:color w:val="FFFFFF"/>
                <w:sz w:val="16"/>
                <w:szCs w:val="16"/>
              </w:rPr>
              <w:t>(квартал)</w:t>
            </w:r>
          </w:p>
        </w:tc>
        <w:tc>
          <w:tcPr>
            <w:tcW w:w="1299" w:type="dxa"/>
            <w:shd w:val="clear" w:color="auto" w:fill="4472C4"/>
            <w:vAlign w:val="center"/>
          </w:tcPr>
          <w:p w14:paraId="6EF25BB6" w14:textId="77777777" w:rsidR="00FE200F" w:rsidRDefault="00E77CAF">
            <w:pPr>
              <w:spacing w:line="216"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Планиран датум на</w:t>
            </w:r>
            <w:r>
              <w:rPr>
                <w:rFonts w:ascii="Times New Roman" w:hAnsi="Times New Roman" w:cs="Times New Roman"/>
                <w:sz w:val="16"/>
                <w:szCs w:val="16"/>
              </w:rPr>
              <w:br/>
            </w:r>
            <w:r>
              <w:rPr>
                <w:rFonts w:ascii="Times New Roman" w:eastAsia="Arial" w:hAnsi="Times New Roman" w:cs="Times New Roman"/>
                <w:b/>
                <w:color w:val="FFFFFF"/>
                <w:sz w:val="16"/>
                <w:szCs w:val="16"/>
              </w:rPr>
              <w:t>извршување</w:t>
            </w:r>
            <w:r>
              <w:rPr>
                <w:rFonts w:ascii="Times New Roman" w:hAnsi="Times New Roman" w:cs="Times New Roman"/>
                <w:sz w:val="16"/>
                <w:szCs w:val="16"/>
              </w:rPr>
              <w:br/>
            </w:r>
            <w:r>
              <w:rPr>
                <w:rFonts w:ascii="Times New Roman" w:eastAsia="Arial" w:hAnsi="Times New Roman" w:cs="Times New Roman"/>
                <w:b/>
                <w:color w:val="FFFFFF"/>
                <w:sz w:val="16"/>
                <w:szCs w:val="16"/>
              </w:rPr>
              <w:t>(квартал)</w:t>
            </w:r>
          </w:p>
        </w:tc>
        <w:tc>
          <w:tcPr>
            <w:tcW w:w="1501" w:type="dxa"/>
            <w:shd w:val="clear" w:color="auto" w:fill="4472C4"/>
            <w:vAlign w:val="center"/>
          </w:tcPr>
          <w:p w14:paraId="62B5516C" w14:textId="77777777" w:rsidR="00FE200F" w:rsidRDefault="00E77CAF">
            <w:pPr>
              <w:spacing w:line="216"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Проценка на</w:t>
            </w:r>
            <w:r>
              <w:rPr>
                <w:rFonts w:ascii="Times New Roman" w:hAnsi="Times New Roman" w:cs="Times New Roman"/>
                <w:sz w:val="16"/>
                <w:szCs w:val="16"/>
              </w:rPr>
              <w:br/>
            </w:r>
            <w:r>
              <w:rPr>
                <w:rFonts w:ascii="Times New Roman" w:eastAsia="Arial" w:hAnsi="Times New Roman" w:cs="Times New Roman"/>
                <w:b/>
                <w:color w:val="FFFFFF"/>
                <w:sz w:val="16"/>
                <w:szCs w:val="16"/>
              </w:rPr>
              <w:t>потребни средства</w:t>
            </w:r>
            <w:r>
              <w:rPr>
                <w:rFonts w:ascii="Times New Roman" w:hAnsi="Times New Roman" w:cs="Times New Roman"/>
                <w:sz w:val="16"/>
                <w:szCs w:val="16"/>
              </w:rPr>
              <w:br/>
            </w:r>
            <w:r>
              <w:rPr>
                <w:rFonts w:ascii="Times New Roman" w:eastAsia="Arial" w:hAnsi="Times New Roman" w:cs="Times New Roman"/>
                <w:b/>
                <w:color w:val="FFFFFF"/>
                <w:sz w:val="16"/>
                <w:szCs w:val="16"/>
              </w:rPr>
              <w:t>(EUR)</w:t>
            </w:r>
          </w:p>
        </w:tc>
        <w:tc>
          <w:tcPr>
            <w:tcW w:w="1699" w:type="dxa"/>
            <w:shd w:val="clear" w:color="auto" w:fill="4472C4"/>
            <w:vAlign w:val="center"/>
          </w:tcPr>
          <w:p w14:paraId="61018342" w14:textId="77777777" w:rsidR="00FE200F" w:rsidRDefault="00E77CAF">
            <w:pPr>
              <w:spacing w:line="216"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Извор на</w:t>
            </w:r>
            <w:r>
              <w:rPr>
                <w:rFonts w:ascii="Times New Roman" w:hAnsi="Times New Roman" w:cs="Times New Roman"/>
                <w:sz w:val="16"/>
                <w:szCs w:val="16"/>
              </w:rPr>
              <w:br/>
            </w:r>
            <w:r>
              <w:rPr>
                <w:rFonts w:ascii="Times New Roman" w:eastAsia="Arial" w:hAnsi="Times New Roman" w:cs="Times New Roman"/>
                <w:b/>
                <w:color w:val="FFFFFF"/>
                <w:sz w:val="16"/>
                <w:szCs w:val="16"/>
              </w:rPr>
              <w:t>финансирање</w:t>
            </w:r>
          </w:p>
        </w:tc>
        <w:tc>
          <w:tcPr>
            <w:tcW w:w="3346" w:type="dxa"/>
            <w:shd w:val="clear" w:color="auto" w:fill="4472C4"/>
            <w:tcMar>
              <w:top w:w="35" w:type="dxa"/>
              <w:left w:w="45" w:type="dxa"/>
              <w:bottom w:w="35" w:type="dxa"/>
              <w:right w:w="45" w:type="dxa"/>
            </w:tcMar>
            <w:vAlign w:val="center"/>
          </w:tcPr>
          <w:p w14:paraId="121571D1" w14:textId="77777777" w:rsidR="00FE200F" w:rsidRDefault="00E77CAF">
            <w:pPr>
              <w:spacing w:line="218"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Показател на резултат и дијагностичка поврзаност (Фаза 1)</w:t>
            </w:r>
          </w:p>
        </w:tc>
      </w:tr>
      <w:tr w:rsidR="00FE200F" w14:paraId="18A43821" w14:textId="77777777" w:rsidTr="000E5E74">
        <w:trPr>
          <w:cantSplit/>
          <w:jc w:val="center"/>
        </w:trPr>
        <w:tc>
          <w:tcPr>
            <w:tcW w:w="8155" w:type="dxa"/>
            <w:gridSpan w:val="4"/>
            <w:shd w:val="clear" w:color="auto" w:fill="D9EAF7"/>
            <w:vAlign w:val="center"/>
          </w:tcPr>
          <w:p w14:paraId="599385A8"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b/>
                <w:sz w:val="16"/>
                <w:szCs w:val="16"/>
              </w:rPr>
              <w:t>ПРИОРИТЕТНА ОБЛАСТ 5: ПРАВНА И ЕТИЧКА РАМКА</w:t>
            </w:r>
          </w:p>
        </w:tc>
        <w:tc>
          <w:tcPr>
            <w:tcW w:w="7845" w:type="dxa"/>
            <w:gridSpan w:val="4"/>
            <w:shd w:val="clear" w:color="auto" w:fill="D9EAF7"/>
            <w:tcMar>
              <w:top w:w="40" w:type="dxa"/>
              <w:left w:w="50" w:type="dxa"/>
              <w:bottom w:w="40" w:type="dxa"/>
              <w:right w:w="50" w:type="dxa"/>
            </w:tcMar>
            <w:vAlign w:val="center"/>
          </w:tcPr>
          <w:p w14:paraId="0B7B6A28"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ПОВРЗАНОСТ СО НАЦИОНАЛНАТА РАЗВОЈНА СТРАТЕГИЈА 2024–2044:</w:t>
            </w:r>
            <w:r>
              <w:rPr>
                <w:rFonts w:ascii="Times New Roman" w:hAnsi="Times New Roman" w:cs="Times New Roman"/>
                <w:sz w:val="16"/>
                <w:szCs w:val="16"/>
              </w:rPr>
              <w:br/>
            </w:r>
            <w:r>
              <w:rPr>
                <w:rFonts w:ascii="Times New Roman" w:eastAsia="Arial" w:hAnsi="Times New Roman" w:cs="Times New Roman"/>
                <w:sz w:val="16"/>
                <w:szCs w:val="16"/>
              </w:rPr>
              <w:t xml:space="preserve">Владеење на правото и добро </w:t>
            </w:r>
            <w:r>
              <w:rPr>
                <w:rFonts w:ascii="Times New Roman" w:eastAsia="Arial" w:hAnsi="Times New Roman" w:cs="Times New Roman"/>
                <w:sz w:val="16"/>
                <w:szCs w:val="16"/>
              </w:rPr>
              <w:t>управување; Сигурно, безбедно и отпорно општество; Дигитализација.</w:t>
            </w:r>
            <w:r>
              <w:rPr>
                <w:rFonts w:ascii="Times New Roman" w:hAnsi="Times New Roman" w:cs="Times New Roman"/>
                <w:sz w:val="16"/>
                <w:szCs w:val="16"/>
              </w:rPr>
              <w:br/>
            </w:r>
            <w:r>
              <w:rPr>
                <w:rFonts w:ascii="Times New Roman" w:eastAsia="Arial" w:hAnsi="Times New Roman" w:cs="Times New Roman"/>
                <w:sz w:val="16"/>
                <w:szCs w:val="16"/>
              </w:rPr>
              <w:t>Придонес: правна сигурност, основни права, одговорна ВИ и институционален надзор.</w:t>
            </w:r>
            <w:r>
              <w:rPr>
                <w:rFonts w:ascii="Times New Roman" w:hAnsi="Times New Roman" w:cs="Times New Roman"/>
                <w:sz w:val="16"/>
                <w:szCs w:val="16"/>
              </w:rPr>
              <w:br/>
            </w:r>
            <w:r>
              <w:rPr>
                <w:rFonts w:ascii="Times New Roman" w:eastAsia="Arial" w:hAnsi="Times New Roman" w:cs="Times New Roman"/>
                <w:sz w:val="16"/>
                <w:szCs w:val="16"/>
              </w:rPr>
              <w:t>СМАРТ/МК:2030: Приоритетна област 3 – Е-Владеење; Приоритетна област 4 – Бизниси, иновации, нови технологии</w:t>
            </w:r>
            <w:r>
              <w:rPr>
                <w:rFonts w:ascii="Times New Roman" w:eastAsia="Arial" w:hAnsi="Times New Roman" w:cs="Times New Roman"/>
                <w:sz w:val="16"/>
                <w:szCs w:val="16"/>
              </w:rPr>
              <w:t xml:space="preserve"> и вештачка интелигенција.</w:t>
            </w:r>
          </w:p>
        </w:tc>
      </w:tr>
      <w:tr w:rsidR="00FE200F" w14:paraId="450F0ACB" w14:textId="77777777" w:rsidTr="000E5E74">
        <w:trPr>
          <w:cantSplit/>
          <w:jc w:val="center"/>
        </w:trPr>
        <w:tc>
          <w:tcPr>
            <w:tcW w:w="8155" w:type="dxa"/>
            <w:gridSpan w:val="4"/>
            <w:shd w:val="clear" w:color="auto" w:fill="BDD7EE"/>
            <w:vAlign w:val="center"/>
          </w:tcPr>
          <w:p w14:paraId="6F0A1B48"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b/>
                <w:sz w:val="16"/>
                <w:szCs w:val="16"/>
              </w:rPr>
              <w:t>ОПШТА ЦЕЛ: УСОГЛАСУВАЊЕ СО ЕУ, ОСНОВНИ ПРАВА, НАДЗОР И ОДГОВОРНОСТ</w:t>
            </w:r>
          </w:p>
        </w:tc>
        <w:tc>
          <w:tcPr>
            <w:tcW w:w="7845" w:type="dxa"/>
            <w:gridSpan w:val="4"/>
            <w:shd w:val="clear" w:color="auto" w:fill="EAF2F8"/>
            <w:vAlign w:val="center"/>
          </w:tcPr>
          <w:p w14:paraId="71C59C6E"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ПОКАЗАТЕЛ НА ЕФЕКТ: GARI Policy Capacity и Governance; степен на воспоставеност на националната ВИ правна и надзорна рамка.Почетна вредност (2027): 34,50 / 45,00</w:t>
            </w:r>
            <w:r>
              <w:rPr>
                <w:rFonts w:ascii="Times New Roman" w:eastAsia="Arial" w:hAnsi="Times New Roman" w:cs="Times New Roman"/>
                <w:sz w:val="16"/>
                <w:szCs w:val="16"/>
              </w:rPr>
              <w:t xml:space="preserve"> (GARI 2025); нема Закон за ВИ и надлежно тело.Преодна вредност (2028): 35,70 / 44,20; усвоен Закон за ВИ и воспоставено тело. Крајна вредност (2029): 42,00 / 52,00; усвоен Закон за ВИ и воспоставено тело.</w:t>
            </w:r>
          </w:p>
        </w:tc>
      </w:tr>
      <w:tr w:rsidR="00FE200F" w14:paraId="7AE36ED3" w14:textId="77777777" w:rsidTr="000E5E74">
        <w:trPr>
          <w:cantSplit/>
          <w:jc w:val="center"/>
        </w:trPr>
        <w:tc>
          <w:tcPr>
            <w:tcW w:w="8155" w:type="dxa"/>
            <w:gridSpan w:val="4"/>
            <w:shd w:val="clear" w:color="auto" w:fill="E7E6E6"/>
            <w:vAlign w:val="center"/>
          </w:tcPr>
          <w:p w14:paraId="6D1DD7B3"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b/>
                <w:sz w:val="16"/>
                <w:szCs w:val="16"/>
              </w:rPr>
              <w:t>Посебна цел 5.1. Усогласување со EU AI Act и инст</w:t>
            </w:r>
            <w:r>
              <w:rPr>
                <w:rFonts w:ascii="Times New Roman" w:eastAsia="Arial" w:hAnsi="Times New Roman" w:cs="Times New Roman"/>
                <w:b/>
                <w:sz w:val="16"/>
                <w:szCs w:val="16"/>
              </w:rPr>
              <w:t>итуционален надзор</w:t>
            </w:r>
          </w:p>
        </w:tc>
        <w:tc>
          <w:tcPr>
            <w:tcW w:w="7845" w:type="dxa"/>
            <w:gridSpan w:val="4"/>
            <w:shd w:val="clear" w:color="auto" w:fill="F2F2F2"/>
            <w:vAlign w:val="center"/>
          </w:tcPr>
          <w:p w14:paraId="2CE8D295"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ПОКАЗАТЕЛ НА ИСХОД: Усвоена ВИ правна рамка и функционално надзорно тело.Почетна вредност (2027): нема работна група, нацрт-закон, усвоен закон или определено надлежно тело.Преодна вредност (2028): усвоен Закон за ВИ и воспоставено надле</w:t>
            </w:r>
            <w:r>
              <w:rPr>
                <w:rFonts w:ascii="Times New Roman" w:eastAsia="Arial" w:hAnsi="Times New Roman" w:cs="Times New Roman"/>
                <w:sz w:val="16"/>
                <w:szCs w:val="16"/>
              </w:rPr>
              <w:t>жно тело. Крајна вредност (2029): усвоен Закон за ВИ и воспоставено надлежно тело.</w:t>
            </w:r>
          </w:p>
        </w:tc>
      </w:tr>
      <w:tr w:rsidR="00FE200F" w14:paraId="5D281056" w14:textId="77777777" w:rsidTr="000E5E74">
        <w:trPr>
          <w:cantSplit/>
          <w:jc w:val="center"/>
        </w:trPr>
        <w:tc>
          <w:tcPr>
            <w:tcW w:w="1901" w:type="dxa"/>
            <w:vMerge w:val="restart"/>
            <w:vAlign w:val="center"/>
          </w:tcPr>
          <w:p w14:paraId="021F868C"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b/>
                <w:sz w:val="16"/>
                <w:szCs w:val="16"/>
              </w:rPr>
              <w:t>М5.1.1. Изработка на Закон за вештачка интелигенција</w:t>
            </w:r>
          </w:p>
        </w:tc>
        <w:tc>
          <w:tcPr>
            <w:tcW w:w="3203" w:type="dxa"/>
            <w:vAlign w:val="center"/>
          </w:tcPr>
          <w:p w14:paraId="0E795FEF" w14:textId="458C1330"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А5.1.1.1. Формирање на меѓуинституционална работна група за нацрт-законот</w:t>
            </w:r>
          </w:p>
        </w:tc>
        <w:tc>
          <w:tcPr>
            <w:tcW w:w="1899" w:type="dxa"/>
            <w:vAlign w:val="center"/>
          </w:tcPr>
          <w:p w14:paraId="61621AB5"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МДТ</w:t>
            </w:r>
            <w:r>
              <w:rPr>
                <w:rFonts w:ascii="Times New Roman" w:hAnsi="Times New Roman" w:cs="Times New Roman"/>
                <w:sz w:val="16"/>
                <w:szCs w:val="16"/>
              </w:rPr>
              <w:br/>
            </w:r>
            <w:r>
              <w:rPr>
                <w:rFonts w:ascii="Times New Roman" w:eastAsia="Arial" w:hAnsi="Times New Roman" w:cs="Times New Roman"/>
                <w:sz w:val="16"/>
                <w:szCs w:val="16"/>
              </w:rPr>
              <w:t>Министерство за правда</w:t>
            </w:r>
            <w:r>
              <w:rPr>
                <w:rFonts w:ascii="Times New Roman" w:hAnsi="Times New Roman" w:cs="Times New Roman"/>
                <w:sz w:val="16"/>
                <w:szCs w:val="16"/>
              </w:rPr>
              <w:br/>
            </w:r>
            <w:r>
              <w:rPr>
                <w:rFonts w:ascii="Times New Roman" w:eastAsia="Arial" w:hAnsi="Times New Roman" w:cs="Times New Roman"/>
                <w:sz w:val="16"/>
                <w:szCs w:val="16"/>
              </w:rPr>
              <w:t>Собрание</w:t>
            </w:r>
          </w:p>
        </w:tc>
        <w:tc>
          <w:tcPr>
            <w:tcW w:w="1152" w:type="dxa"/>
            <w:vAlign w:val="center"/>
          </w:tcPr>
          <w:p w14:paraId="0BA77C28" w14:textId="46315AE1"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w:t>
            </w:r>
            <w:r w:rsidR="00015530">
              <w:rPr>
                <w:rFonts w:ascii="Times New Roman" w:eastAsia="Arial" w:hAnsi="Times New Roman" w:cs="Times New Roman"/>
                <w:sz w:val="16"/>
                <w:szCs w:val="16"/>
              </w:rPr>
              <w:t>1</w:t>
            </w:r>
            <w:r>
              <w:rPr>
                <w:rFonts w:ascii="Times New Roman" w:eastAsia="Arial" w:hAnsi="Times New Roman" w:cs="Times New Roman"/>
                <w:sz w:val="16"/>
                <w:szCs w:val="16"/>
              </w:rPr>
              <w:t xml:space="preserve"> 2027</w:t>
            </w:r>
          </w:p>
        </w:tc>
        <w:tc>
          <w:tcPr>
            <w:tcW w:w="1299" w:type="dxa"/>
            <w:vAlign w:val="center"/>
          </w:tcPr>
          <w:p w14:paraId="3352BB50" w14:textId="1CC7022F"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w:t>
            </w:r>
            <w:r w:rsidR="00015530">
              <w:rPr>
                <w:rFonts w:ascii="Times New Roman" w:eastAsia="Arial" w:hAnsi="Times New Roman" w:cs="Times New Roman"/>
                <w:sz w:val="16"/>
                <w:szCs w:val="16"/>
              </w:rPr>
              <w:t>1</w:t>
            </w:r>
            <w:r>
              <w:rPr>
                <w:rFonts w:ascii="Times New Roman" w:eastAsia="Arial" w:hAnsi="Times New Roman" w:cs="Times New Roman"/>
                <w:sz w:val="16"/>
                <w:szCs w:val="16"/>
              </w:rPr>
              <w:t xml:space="preserve"> 202</w:t>
            </w:r>
            <w:r w:rsidR="00015530">
              <w:rPr>
                <w:rFonts w:ascii="Times New Roman" w:eastAsia="Arial" w:hAnsi="Times New Roman" w:cs="Times New Roman"/>
                <w:sz w:val="16"/>
                <w:szCs w:val="16"/>
              </w:rPr>
              <w:t>7</w:t>
            </w:r>
          </w:p>
        </w:tc>
        <w:tc>
          <w:tcPr>
            <w:tcW w:w="1501" w:type="dxa"/>
            <w:vAlign w:val="center"/>
          </w:tcPr>
          <w:p w14:paraId="07E8A90F" w14:textId="63A3DABA" w:rsidR="00FE200F" w:rsidRDefault="00015530">
            <w:pPr>
              <w:spacing w:line="216" w:lineRule="auto"/>
              <w:rPr>
                <w:rFonts w:ascii="Times New Roman" w:hAnsi="Times New Roman" w:cs="Times New Roman"/>
                <w:sz w:val="16"/>
                <w:szCs w:val="16"/>
              </w:rPr>
            </w:pPr>
            <w:r>
              <w:rPr>
                <w:rFonts w:ascii="Times New Roman" w:eastAsia="Arial" w:hAnsi="Times New Roman" w:cs="Times New Roman"/>
                <w:sz w:val="16"/>
                <w:szCs w:val="16"/>
              </w:rPr>
              <w:t>0</w:t>
            </w:r>
          </w:p>
        </w:tc>
        <w:tc>
          <w:tcPr>
            <w:tcW w:w="1699" w:type="dxa"/>
            <w:vAlign w:val="center"/>
          </w:tcPr>
          <w:p w14:paraId="03AA5262" w14:textId="384CB230" w:rsidR="00FE200F" w:rsidRDefault="00015530">
            <w:pPr>
              <w:spacing w:line="216" w:lineRule="auto"/>
              <w:rPr>
                <w:rFonts w:ascii="Times New Roman" w:hAnsi="Times New Roman" w:cs="Times New Roman"/>
                <w:sz w:val="16"/>
                <w:szCs w:val="16"/>
              </w:rPr>
            </w:pPr>
            <w:r>
              <w:rPr>
                <w:rFonts w:ascii="Times New Roman" w:eastAsia="Arial" w:hAnsi="Times New Roman" w:cs="Times New Roman"/>
                <w:sz w:val="16"/>
                <w:szCs w:val="16"/>
                <w:lang w:val="mk-MK"/>
              </w:rPr>
              <w:t>/</w:t>
            </w:r>
          </w:p>
        </w:tc>
        <w:tc>
          <w:tcPr>
            <w:tcW w:w="3346" w:type="dxa"/>
            <w:vMerge w:val="restart"/>
            <w:tcMar>
              <w:top w:w="35" w:type="dxa"/>
              <w:left w:w="45" w:type="dxa"/>
              <w:bottom w:w="35" w:type="dxa"/>
              <w:right w:w="45" w:type="dxa"/>
            </w:tcMar>
            <w:vAlign w:val="center"/>
          </w:tcPr>
          <w:p w14:paraId="38273A57"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Показател на резултат: Закон за ВИ усогласен со EU AI Act.</w:t>
            </w:r>
          </w:p>
          <w:p w14:paraId="53F5F30C"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Почетна вредност (2027): Нема работна група, нацрт-закон или усвоен закон.</w:t>
            </w:r>
          </w:p>
          <w:p w14:paraId="1D79EC3A"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Преодна вредност (2028): Формирана група, изработен нацрт и усвоен Закон за ВИ.</w:t>
            </w:r>
          </w:p>
          <w:p w14:paraId="696830E1" w14:textId="77777777" w:rsidR="00FE200F" w:rsidRDefault="00E77CAF">
            <w:pPr>
              <w:spacing w:line="216" w:lineRule="auto"/>
              <w:rPr>
                <w:rFonts w:ascii="Times New Roman" w:hAnsi="Times New Roman" w:cs="Times New Roman"/>
                <w:sz w:val="16"/>
                <w:szCs w:val="16"/>
                <w:lang w:val="mk-MK"/>
              </w:rPr>
            </w:pPr>
            <w:r>
              <w:rPr>
                <w:rFonts w:ascii="Times New Roman" w:eastAsia="Arial" w:hAnsi="Times New Roman" w:cs="Times New Roman"/>
                <w:sz w:val="16"/>
                <w:szCs w:val="16"/>
              </w:rPr>
              <w:t xml:space="preserve">Крајна вредност (2029): </w:t>
            </w:r>
            <w:r>
              <w:rPr>
                <w:rFonts w:ascii="Times New Roman" w:eastAsia="Arial" w:hAnsi="Times New Roman" w:cs="Times New Roman"/>
                <w:sz w:val="16"/>
                <w:szCs w:val="16"/>
              </w:rPr>
              <w:t>Формирана група, изработен нацрт и усвоен Закон за ВИ.</w:t>
            </w:r>
          </w:p>
        </w:tc>
      </w:tr>
      <w:tr w:rsidR="00FE200F" w14:paraId="6D03AAE7" w14:textId="77777777" w:rsidTr="000E5E74">
        <w:trPr>
          <w:cantSplit/>
          <w:jc w:val="center"/>
        </w:trPr>
        <w:tc>
          <w:tcPr>
            <w:tcW w:w="1901" w:type="dxa"/>
            <w:vMerge/>
            <w:tcMar>
              <w:top w:w="50" w:type="dxa"/>
              <w:left w:w="55" w:type="dxa"/>
              <w:bottom w:w="50" w:type="dxa"/>
              <w:right w:w="55" w:type="dxa"/>
            </w:tcMar>
          </w:tcPr>
          <w:p w14:paraId="6507A2F5" w14:textId="77777777" w:rsidR="00FE200F" w:rsidRDefault="00FE200F">
            <w:pPr>
              <w:rPr>
                <w:rFonts w:ascii="Times New Roman" w:hAnsi="Times New Roman" w:cs="Times New Roman"/>
                <w:sz w:val="16"/>
                <w:szCs w:val="16"/>
              </w:rPr>
            </w:pPr>
          </w:p>
        </w:tc>
        <w:tc>
          <w:tcPr>
            <w:tcW w:w="3203" w:type="dxa"/>
            <w:vAlign w:val="center"/>
          </w:tcPr>
          <w:p w14:paraId="71038A89"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А5.1.1.2. Изработка на нацрт-закон усогласен со EU AI Act</w:t>
            </w:r>
          </w:p>
        </w:tc>
        <w:tc>
          <w:tcPr>
            <w:tcW w:w="1899" w:type="dxa"/>
            <w:tcMar>
              <w:top w:w="50" w:type="dxa"/>
              <w:left w:w="55" w:type="dxa"/>
              <w:bottom w:w="50" w:type="dxa"/>
              <w:right w:w="55" w:type="dxa"/>
            </w:tcMar>
          </w:tcPr>
          <w:p w14:paraId="2FE69B70"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МДТ</w:t>
            </w:r>
            <w:r>
              <w:rPr>
                <w:rFonts w:ascii="Times New Roman" w:hAnsi="Times New Roman" w:cs="Times New Roman"/>
                <w:sz w:val="16"/>
                <w:szCs w:val="16"/>
              </w:rPr>
              <w:br/>
            </w:r>
            <w:r>
              <w:rPr>
                <w:rFonts w:ascii="Times New Roman" w:eastAsia="Arial" w:hAnsi="Times New Roman" w:cs="Times New Roman"/>
                <w:sz w:val="16"/>
                <w:szCs w:val="16"/>
              </w:rPr>
              <w:t>Министерство за правда</w:t>
            </w:r>
            <w:r>
              <w:rPr>
                <w:rFonts w:ascii="Times New Roman" w:hAnsi="Times New Roman" w:cs="Times New Roman"/>
                <w:sz w:val="16"/>
                <w:szCs w:val="16"/>
              </w:rPr>
              <w:br/>
            </w:r>
            <w:r>
              <w:rPr>
                <w:rFonts w:ascii="Times New Roman" w:eastAsia="Arial" w:hAnsi="Times New Roman" w:cs="Times New Roman"/>
                <w:sz w:val="16"/>
                <w:szCs w:val="16"/>
              </w:rPr>
              <w:t>Собрание</w:t>
            </w:r>
          </w:p>
          <w:p w14:paraId="3CE5E04B" w14:textId="77777777" w:rsidR="00FE200F" w:rsidRDefault="00E77CAF">
            <w:pPr>
              <w:spacing w:line="216" w:lineRule="auto"/>
              <w:rPr>
                <w:rFonts w:ascii="Times New Roman" w:hAnsi="Times New Roman" w:cs="Times New Roman"/>
                <w:sz w:val="16"/>
                <w:szCs w:val="16"/>
                <w:lang w:val="mk-MK"/>
              </w:rPr>
            </w:pPr>
            <w:r>
              <w:rPr>
                <w:rFonts w:ascii="Times New Roman" w:eastAsia="Arial" w:hAnsi="Times New Roman" w:cs="Times New Roman"/>
                <w:sz w:val="16"/>
                <w:szCs w:val="16"/>
                <w:lang w:val="mk-MK"/>
              </w:rPr>
              <w:t>АЗЛП</w:t>
            </w:r>
          </w:p>
        </w:tc>
        <w:tc>
          <w:tcPr>
            <w:tcW w:w="1152" w:type="dxa"/>
            <w:tcMar>
              <w:top w:w="50" w:type="dxa"/>
              <w:left w:w="55" w:type="dxa"/>
              <w:bottom w:w="50" w:type="dxa"/>
              <w:right w:w="55" w:type="dxa"/>
            </w:tcMar>
          </w:tcPr>
          <w:p w14:paraId="59DA7775" w14:textId="058DC0F4" w:rsidR="00FE200F" w:rsidRDefault="00015530">
            <w:pPr>
              <w:spacing w:line="216" w:lineRule="auto"/>
              <w:rPr>
                <w:rFonts w:ascii="Times New Roman" w:hAnsi="Times New Roman" w:cs="Times New Roman"/>
                <w:sz w:val="16"/>
                <w:szCs w:val="16"/>
              </w:rPr>
            </w:pPr>
            <w:r>
              <w:rPr>
                <w:rFonts w:ascii="Times New Roman" w:eastAsia="Arial" w:hAnsi="Times New Roman" w:cs="Times New Roman"/>
                <w:sz w:val="16"/>
                <w:szCs w:val="16"/>
              </w:rPr>
              <w:t>Q1 2027</w:t>
            </w:r>
          </w:p>
        </w:tc>
        <w:tc>
          <w:tcPr>
            <w:tcW w:w="1299" w:type="dxa"/>
            <w:tcMar>
              <w:top w:w="50" w:type="dxa"/>
              <w:left w:w="55" w:type="dxa"/>
              <w:bottom w:w="50" w:type="dxa"/>
              <w:right w:w="55" w:type="dxa"/>
            </w:tcMar>
          </w:tcPr>
          <w:p w14:paraId="2D25B805" w14:textId="4F7EBB68" w:rsidR="00FE200F" w:rsidRDefault="00015530">
            <w:pPr>
              <w:spacing w:line="216" w:lineRule="auto"/>
              <w:rPr>
                <w:rFonts w:ascii="Times New Roman" w:hAnsi="Times New Roman" w:cs="Times New Roman"/>
                <w:sz w:val="16"/>
                <w:szCs w:val="16"/>
              </w:rPr>
            </w:pPr>
            <w:r>
              <w:rPr>
                <w:rFonts w:ascii="Times New Roman" w:eastAsia="Arial" w:hAnsi="Times New Roman" w:cs="Times New Roman"/>
                <w:sz w:val="16"/>
                <w:szCs w:val="16"/>
              </w:rPr>
              <w:t>Q2 2027</w:t>
            </w:r>
          </w:p>
        </w:tc>
        <w:tc>
          <w:tcPr>
            <w:tcW w:w="1501" w:type="dxa"/>
            <w:tcMar>
              <w:top w:w="50" w:type="dxa"/>
              <w:left w:w="55" w:type="dxa"/>
              <w:bottom w:w="50" w:type="dxa"/>
              <w:right w:w="55" w:type="dxa"/>
            </w:tcMar>
          </w:tcPr>
          <w:p w14:paraId="1B115C9A" w14:textId="0EA1F7BE" w:rsidR="00FE200F" w:rsidRDefault="00015530">
            <w:pPr>
              <w:spacing w:line="216" w:lineRule="auto"/>
              <w:rPr>
                <w:rFonts w:ascii="Times New Roman" w:hAnsi="Times New Roman" w:cs="Times New Roman"/>
                <w:sz w:val="16"/>
                <w:szCs w:val="16"/>
              </w:rPr>
            </w:pPr>
            <w:r>
              <w:rPr>
                <w:rFonts w:ascii="Times New Roman" w:eastAsia="Arial" w:hAnsi="Times New Roman" w:cs="Times New Roman"/>
                <w:sz w:val="16"/>
                <w:szCs w:val="16"/>
              </w:rPr>
              <w:t>2.000.0000</w:t>
            </w:r>
          </w:p>
        </w:tc>
        <w:tc>
          <w:tcPr>
            <w:tcW w:w="1699" w:type="dxa"/>
            <w:tcMar>
              <w:top w:w="50" w:type="dxa"/>
              <w:left w:w="55" w:type="dxa"/>
              <w:bottom w:w="50" w:type="dxa"/>
              <w:right w:w="55" w:type="dxa"/>
            </w:tcMar>
          </w:tcPr>
          <w:p w14:paraId="041A500C" w14:textId="1863FB75" w:rsidR="00FE200F" w:rsidRDefault="00015530">
            <w:pPr>
              <w:spacing w:line="216" w:lineRule="auto"/>
              <w:rPr>
                <w:rFonts w:ascii="Times New Roman" w:hAnsi="Times New Roman" w:cs="Times New Roman"/>
                <w:sz w:val="16"/>
                <w:szCs w:val="16"/>
              </w:rPr>
            </w:pPr>
            <w:r>
              <w:rPr>
                <w:rFonts w:ascii="Times New Roman" w:eastAsia="Arial" w:hAnsi="Times New Roman" w:cs="Times New Roman"/>
                <w:sz w:val="16"/>
                <w:szCs w:val="16"/>
                <w:lang w:val="mk-MK"/>
              </w:rPr>
              <w:t>ИПА</w:t>
            </w:r>
            <w:r>
              <w:rPr>
                <w:rFonts w:ascii="Times New Roman" w:hAnsi="Times New Roman" w:cs="Times New Roman"/>
                <w:sz w:val="16"/>
                <w:szCs w:val="16"/>
              </w:rPr>
              <w:br/>
            </w:r>
          </w:p>
        </w:tc>
        <w:tc>
          <w:tcPr>
            <w:tcW w:w="3346" w:type="dxa"/>
            <w:vMerge/>
            <w:tcMar>
              <w:top w:w="50" w:type="dxa"/>
              <w:left w:w="55" w:type="dxa"/>
              <w:bottom w:w="50" w:type="dxa"/>
              <w:right w:w="55" w:type="dxa"/>
            </w:tcMar>
          </w:tcPr>
          <w:p w14:paraId="007D9682" w14:textId="77777777" w:rsidR="00FE200F" w:rsidRDefault="00FE200F">
            <w:pPr>
              <w:rPr>
                <w:rFonts w:ascii="Times New Roman" w:hAnsi="Times New Roman" w:cs="Times New Roman"/>
                <w:sz w:val="16"/>
                <w:szCs w:val="16"/>
              </w:rPr>
            </w:pPr>
          </w:p>
        </w:tc>
      </w:tr>
      <w:tr w:rsidR="00FE200F" w14:paraId="69036350" w14:textId="77777777" w:rsidTr="000E5E74">
        <w:trPr>
          <w:cantSplit/>
          <w:jc w:val="center"/>
        </w:trPr>
        <w:tc>
          <w:tcPr>
            <w:tcW w:w="1901" w:type="dxa"/>
            <w:vMerge/>
            <w:tcMar>
              <w:top w:w="50" w:type="dxa"/>
              <w:left w:w="55" w:type="dxa"/>
              <w:bottom w:w="50" w:type="dxa"/>
              <w:right w:w="55" w:type="dxa"/>
            </w:tcMar>
          </w:tcPr>
          <w:p w14:paraId="40C04A2B" w14:textId="77777777" w:rsidR="00FE200F" w:rsidRDefault="00FE200F">
            <w:pPr>
              <w:rPr>
                <w:rFonts w:ascii="Times New Roman" w:hAnsi="Times New Roman" w:cs="Times New Roman"/>
                <w:sz w:val="16"/>
                <w:szCs w:val="16"/>
              </w:rPr>
            </w:pPr>
          </w:p>
        </w:tc>
        <w:tc>
          <w:tcPr>
            <w:tcW w:w="3203" w:type="dxa"/>
            <w:vAlign w:val="center"/>
          </w:tcPr>
          <w:p w14:paraId="2BEA285E"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 xml:space="preserve">А5.1.1.3. Спроведување на јавни консултации и усвојување во </w:t>
            </w:r>
            <w:r>
              <w:rPr>
                <w:rFonts w:ascii="Times New Roman" w:eastAsia="Arial" w:hAnsi="Times New Roman" w:cs="Times New Roman"/>
                <w:sz w:val="16"/>
                <w:szCs w:val="16"/>
              </w:rPr>
              <w:t>Собрание</w:t>
            </w:r>
          </w:p>
        </w:tc>
        <w:tc>
          <w:tcPr>
            <w:tcW w:w="1899" w:type="dxa"/>
            <w:tcMar>
              <w:top w:w="50" w:type="dxa"/>
              <w:left w:w="55" w:type="dxa"/>
              <w:bottom w:w="50" w:type="dxa"/>
              <w:right w:w="55" w:type="dxa"/>
            </w:tcMar>
          </w:tcPr>
          <w:p w14:paraId="511B6255"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МДТ</w:t>
            </w:r>
            <w:r>
              <w:rPr>
                <w:rFonts w:ascii="Times New Roman" w:hAnsi="Times New Roman" w:cs="Times New Roman"/>
                <w:sz w:val="16"/>
                <w:szCs w:val="16"/>
              </w:rPr>
              <w:br/>
            </w:r>
            <w:r>
              <w:rPr>
                <w:rFonts w:ascii="Times New Roman" w:eastAsia="Arial" w:hAnsi="Times New Roman" w:cs="Times New Roman"/>
                <w:sz w:val="16"/>
                <w:szCs w:val="16"/>
              </w:rPr>
              <w:t>Министерство за правда</w:t>
            </w:r>
            <w:r>
              <w:rPr>
                <w:rFonts w:ascii="Times New Roman" w:hAnsi="Times New Roman" w:cs="Times New Roman"/>
                <w:sz w:val="16"/>
                <w:szCs w:val="16"/>
              </w:rPr>
              <w:br/>
            </w:r>
            <w:r>
              <w:rPr>
                <w:rFonts w:ascii="Times New Roman" w:eastAsia="Arial" w:hAnsi="Times New Roman" w:cs="Times New Roman"/>
                <w:sz w:val="16"/>
                <w:szCs w:val="16"/>
              </w:rPr>
              <w:t>Собрание</w:t>
            </w:r>
          </w:p>
        </w:tc>
        <w:tc>
          <w:tcPr>
            <w:tcW w:w="1152" w:type="dxa"/>
            <w:tcMar>
              <w:top w:w="50" w:type="dxa"/>
              <w:left w:w="55" w:type="dxa"/>
              <w:bottom w:w="50" w:type="dxa"/>
              <w:right w:w="55" w:type="dxa"/>
            </w:tcMar>
          </w:tcPr>
          <w:p w14:paraId="22983BF6" w14:textId="6C5CA364"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Q</w:t>
            </w:r>
            <w:r w:rsidR="00015530">
              <w:rPr>
                <w:rFonts w:ascii="Times New Roman" w:eastAsia="Arial" w:hAnsi="Times New Roman" w:cs="Times New Roman"/>
                <w:sz w:val="16"/>
                <w:szCs w:val="16"/>
                <w:lang w:val="mk-MK"/>
              </w:rPr>
              <w:t>2</w:t>
            </w:r>
            <w:r>
              <w:rPr>
                <w:rFonts w:ascii="Times New Roman" w:eastAsia="Arial" w:hAnsi="Times New Roman" w:cs="Times New Roman"/>
                <w:sz w:val="16"/>
                <w:szCs w:val="16"/>
              </w:rPr>
              <w:t xml:space="preserve"> 2027</w:t>
            </w:r>
          </w:p>
        </w:tc>
        <w:tc>
          <w:tcPr>
            <w:tcW w:w="1299" w:type="dxa"/>
            <w:tcMar>
              <w:top w:w="50" w:type="dxa"/>
              <w:left w:w="55" w:type="dxa"/>
              <w:bottom w:w="50" w:type="dxa"/>
              <w:right w:w="55" w:type="dxa"/>
            </w:tcMar>
          </w:tcPr>
          <w:p w14:paraId="4541011E" w14:textId="02A3D679" w:rsidR="00FE200F" w:rsidRPr="00015530" w:rsidRDefault="00E77CAF">
            <w:pPr>
              <w:spacing w:line="216" w:lineRule="auto"/>
              <w:rPr>
                <w:rFonts w:ascii="Times New Roman" w:hAnsi="Times New Roman" w:cs="Times New Roman"/>
                <w:sz w:val="16"/>
                <w:szCs w:val="16"/>
                <w:lang w:val="mk-MK"/>
              </w:rPr>
            </w:pPr>
            <w:r>
              <w:rPr>
                <w:rFonts w:ascii="Times New Roman" w:eastAsia="Arial" w:hAnsi="Times New Roman" w:cs="Times New Roman"/>
                <w:sz w:val="16"/>
                <w:szCs w:val="16"/>
              </w:rPr>
              <w:t>Q</w:t>
            </w:r>
            <w:r w:rsidR="00015530">
              <w:rPr>
                <w:rFonts w:ascii="Times New Roman" w:eastAsia="Arial" w:hAnsi="Times New Roman" w:cs="Times New Roman"/>
                <w:sz w:val="16"/>
                <w:szCs w:val="16"/>
                <w:lang w:val="mk-MK"/>
              </w:rPr>
              <w:t>3</w:t>
            </w:r>
            <w:r>
              <w:rPr>
                <w:rFonts w:ascii="Times New Roman" w:eastAsia="Arial" w:hAnsi="Times New Roman" w:cs="Times New Roman"/>
                <w:sz w:val="16"/>
                <w:szCs w:val="16"/>
              </w:rPr>
              <w:t xml:space="preserve"> 202</w:t>
            </w:r>
            <w:r w:rsidR="00015530">
              <w:rPr>
                <w:rFonts w:ascii="Times New Roman" w:eastAsia="Arial" w:hAnsi="Times New Roman" w:cs="Times New Roman"/>
                <w:sz w:val="16"/>
                <w:szCs w:val="16"/>
                <w:lang w:val="mk-MK"/>
              </w:rPr>
              <w:t>7</w:t>
            </w:r>
          </w:p>
        </w:tc>
        <w:tc>
          <w:tcPr>
            <w:tcW w:w="1501" w:type="dxa"/>
            <w:tcMar>
              <w:top w:w="50" w:type="dxa"/>
              <w:left w:w="55" w:type="dxa"/>
              <w:bottom w:w="50" w:type="dxa"/>
              <w:right w:w="55" w:type="dxa"/>
            </w:tcMar>
          </w:tcPr>
          <w:p w14:paraId="69D4B0F1" w14:textId="37516018" w:rsidR="00FE200F" w:rsidRDefault="00015530">
            <w:pPr>
              <w:spacing w:line="216" w:lineRule="auto"/>
              <w:rPr>
                <w:rFonts w:ascii="Times New Roman" w:hAnsi="Times New Roman" w:cs="Times New Roman"/>
                <w:sz w:val="16"/>
                <w:szCs w:val="16"/>
              </w:rPr>
            </w:pPr>
            <w:r>
              <w:rPr>
                <w:rFonts w:ascii="Times New Roman" w:eastAsia="Arial" w:hAnsi="Times New Roman" w:cs="Times New Roman"/>
                <w:sz w:val="16"/>
                <w:szCs w:val="16"/>
              </w:rPr>
              <w:t>1.000.000</w:t>
            </w:r>
          </w:p>
        </w:tc>
        <w:tc>
          <w:tcPr>
            <w:tcW w:w="1699" w:type="dxa"/>
            <w:tcMar>
              <w:top w:w="50" w:type="dxa"/>
              <w:left w:w="55" w:type="dxa"/>
              <w:bottom w:w="50" w:type="dxa"/>
              <w:right w:w="55" w:type="dxa"/>
            </w:tcMar>
          </w:tcPr>
          <w:p w14:paraId="1F94ED9C" w14:textId="225E5808" w:rsidR="00FE200F" w:rsidRDefault="00015530">
            <w:pPr>
              <w:spacing w:line="216" w:lineRule="auto"/>
              <w:rPr>
                <w:rFonts w:ascii="Times New Roman" w:hAnsi="Times New Roman" w:cs="Times New Roman"/>
                <w:sz w:val="16"/>
                <w:szCs w:val="16"/>
              </w:rPr>
            </w:pPr>
            <w:r>
              <w:rPr>
                <w:rFonts w:ascii="Times New Roman" w:eastAsia="Arial" w:hAnsi="Times New Roman" w:cs="Times New Roman"/>
                <w:sz w:val="16"/>
                <w:szCs w:val="16"/>
                <w:lang w:val="mk-MK"/>
              </w:rPr>
              <w:t>ИПА</w:t>
            </w:r>
            <w:r>
              <w:rPr>
                <w:rFonts w:ascii="Times New Roman" w:hAnsi="Times New Roman" w:cs="Times New Roman"/>
                <w:sz w:val="16"/>
                <w:szCs w:val="16"/>
              </w:rPr>
              <w:br/>
            </w:r>
          </w:p>
        </w:tc>
        <w:tc>
          <w:tcPr>
            <w:tcW w:w="3346" w:type="dxa"/>
            <w:vMerge/>
            <w:tcMar>
              <w:top w:w="50" w:type="dxa"/>
              <w:left w:w="55" w:type="dxa"/>
              <w:bottom w:w="50" w:type="dxa"/>
              <w:right w:w="55" w:type="dxa"/>
            </w:tcMar>
          </w:tcPr>
          <w:p w14:paraId="2F6C4E44" w14:textId="77777777" w:rsidR="00FE200F" w:rsidRDefault="00FE200F">
            <w:pPr>
              <w:rPr>
                <w:rFonts w:ascii="Times New Roman" w:hAnsi="Times New Roman" w:cs="Times New Roman"/>
                <w:sz w:val="16"/>
                <w:szCs w:val="16"/>
              </w:rPr>
            </w:pPr>
          </w:p>
        </w:tc>
      </w:tr>
      <w:tr w:rsidR="00FE200F" w14:paraId="02240A03" w14:textId="77777777" w:rsidTr="000E5E74">
        <w:trPr>
          <w:cantSplit/>
          <w:jc w:val="center"/>
        </w:trPr>
        <w:tc>
          <w:tcPr>
            <w:tcW w:w="1901" w:type="dxa"/>
            <w:vMerge w:val="restart"/>
            <w:vAlign w:val="center"/>
          </w:tcPr>
          <w:p w14:paraId="4205E162"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b/>
                <w:sz w:val="16"/>
                <w:szCs w:val="16"/>
              </w:rPr>
              <w:t>М5.1.2. Определување на надлежно регулаторно тело за ВИ</w:t>
            </w:r>
          </w:p>
        </w:tc>
        <w:tc>
          <w:tcPr>
            <w:tcW w:w="3203" w:type="dxa"/>
            <w:vAlign w:val="center"/>
          </w:tcPr>
          <w:p w14:paraId="76A446F6"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 xml:space="preserve">А5.1.2.1. Спроведување споредбена правна, институционална, кадровска и финансиска анализа на опциите за надлежно </w:t>
            </w:r>
            <w:r>
              <w:rPr>
                <w:rFonts w:ascii="Times New Roman" w:eastAsia="Arial" w:hAnsi="Times New Roman" w:cs="Times New Roman"/>
                <w:sz w:val="16"/>
                <w:szCs w:val="16"/>
              </w:rPr>
              <w:t>регулаторно и надзорно тело за ВИ, вклучително и можноста за ново тело или за соодветно проширување на надлежности на постоечки институции. Анализата ги оценува независноста и непристрасноста, ресурсите, стручноста, механизмите за соработка и правниот манд</w:t>
            </w:r>
            <w:r>
              <w:rPr>
                <w:rFonts w:ascii="Times New Roman" w:eastAsia="Arial" w:hAnsi="Times New Roman" w:cs="Times New Roman"/>
                <w:sz w:val="16"/>
                <w:szCs w:val="16"/>
              </w:rPr>
              <w:t xml:space="preserve">ат; ги разграничи координациските функции на Министерството за дигитална трансформација од регулаторниот и надзорниот мандат; и ги утврдува точките на соработка со Агенцијата за заштита на личните податоци за прашања од нејзина надлежност. Анализата не ја </w:t>
            </w:r>
            <w:r>
              <w:rPr>
                <w:rFonts w:ascii="Times New Roman" w:eastAsia="Arial" w:hAnsi="Times New Roman" w:cs="Times New Roman"/>
                <w:sz w:val="16"/>
                <w:szCs w:val="16"/>
              </w:rPr>
              <w:t>предодредува Агенцијата за заштита на личните податоци како единствен регулатор за ВИ. Конечната одлука и обезбедувањето ресурси се преземаат само по соодветна правна и финансиска валидација.</w:t>
            </w:r>
          </w:p>
        </w:tc>
        <w:tc>
          <w:tcPr>
            <w:tcW w:w="1899" w:type="dxa"/>
            <w:vAlign w:val="center"/>
          </w:tcPr>
          <w:p w14:paraId="17434DD2"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Влада на РСМ</w:t>
            </w:r>
            <w:r>
              <w:rPr>
                <w:rFonts w:ascii="Times New Roman" w:hAnsi="Times New Roman" w:cs="Times New Roman"/>
                <w:sz w:val="16"/>
                <w:szCs w:val="16"/>
              </w:rPr>
              <w:br/>
            </w:r>
            <w:r>
              <w:rPr>
                <w:rFonts w:ascii="Times New Roman" w:eastAsia="Arial" w:hAnsi="Times New Roman" w:cs="Times New Roman"/>
                <w:sz w:val="16"/>
                <w:szCs w:val="16"/>
              </w:rPr>
              <w:t>МДТ</w:t>
            </w:r>
          </w:p>
        </w:tc>
        <w:tc>
          <w:tcPr>
            <w:tcW w:w="1152" w:type="dxa"/>
            <w:vAlign w:val="center"/>
          </w:tcPr>
          <w:p w14:paraId="0C0D2DE9" w14:textId="0CBA356F" w:rsidR="00FE200F" w:rsidRPr="00015530" w:rsidRDefault="00E77CAF">
            <w:pPr>
              <w:spacing w:line="216" w:lineRule="auto"/>
              <w:rPr>
                <w:rFonts w:ascii="Times New Roman" w:hAnsi="Times New Roman" w:cs="Times New Roman"/>
                <w:sz w:val="16"/>
                <w:szCs w:val="16"/>
                <w:lang w:val="mk-MK"/>
              </w:rPr>
            </w:pPr>
            <w:r>
              <w:rPr>
                <w:rFonts w:ascii="Times New Roman" w:eastAsia="Arial" w:hAnsi="Times New Roman" w:cs="Times New Roman"/>
                <w:sz w:val="16"/>
                <w:szCs w:val="16"/>
              </w:rPr>
              <w:t>Q1 202</w:t>
            </w:r>
            <w:r w:rsidR="00015530">
              <w:rPr>
                <w:rFonts w:ascii="Times New Roman" w:eastAsia="Arial" w:hAnsi="Times New Roman" w:cs="Times New Roman"/>
                <w:sz w:val="16"/>
                <w:szCs w:val="16"/>
                <w:lang w:val="mk-MK"/>
              </w:rPr>
              <w:t>7</w:t>
            </w:r>
          </w:p>
        </w:tc>
        <w:tc>
          <w:tcPr>
            <w:tcW w:w="1299" w:type="dxa"/>
            <w:vAlign w:val="center"/>
          </w:tcPr>
          <w:p w14:paraId="70A6F518" w14:textId="52897F59" w:rsidR="00FE200F" w:rsidRPr="00015530" w:rsidRDefault="00E77CAF">
            <w:pPr>
              <w:spacing w:line="216" w:lineRule="auto"/>
              <w:rPr>
                <w:rFonts w:ascii="Times New Roman" w:hAnsi="Times New Roman" w:cs="Times New Roman"/>
                <w:sz w:val="16"/>
                <w:szCs w:val="16"/>
                <w:lang w:val="mk-MK"/>
              </w:rPr>
            </w:pPr>
            <w:r>
              <w:rPr>
                <w:rFonts w:ascii="Times New Roman" w:eastAsia="Arial" w:hAnsi="Times New Roman" w:cs="Times New Roman"/>
                <w:sz w:val="16"/>
                <w:szCs w:val="16"/>
              </w:rPr>
              <w:t>Q4 202</w:t>
            </w:r>
            <w:r w:rsidR="00015530">
              <w:rPr>
                <w:rFonts w:ascii="Times New Roman" w:eastAsia="Arial" w:hAnsi="Times New Roman" w:cs="Times New Roman"/>
                <w:sz w:val="16"/>
                <w:szCs w:val="16"/>
                <w:lang w:val="mk-MK"/>
              </w:rPr>
              <w:t>7</w:t>
            </w:r>
          </w:p>
        </w:tc>
        <w:tc>
          <w:tcPr>
            <w:tcW w:w="1501" w:type="dxa"/>
            <w:vAlign w:val="center"/>
          </w:tcPr>
          <w:p w14:paraId="5015956D" w14:textId="6C362194" w:rsidR="00FE200F" w:rsidRPr="00015530" w:rsidRDefault="00015530">
            <w:pPr>
              <w:spacing w:line="216" w:lineRule="auto"/>
              <w:rPr>
                <w:rFonts w:ascii="Times New Roman" w:hAnsi="Times New Roman" w:cs="Times New Roman"/>
                <w:sz w:val="16"/>
                <w:szCs w:val="16"/>
                <w:lang w:val="mk-MK"/>
              </w:rPr>
            </w:pPr>
            <w:r>
              <w:rPr>
                <w:rFonts w:ascii="Times New Roman" w:eastAsia="Arial" w:hAnsi="Times New Roman" w:cs="Times New Roman"/>
                <w:sz w:val="16"/>
                <w:szCs w:val="16"/>
                <w:lang w:val="mk-MK"/>
              </w:rPr>
              <w:t>1,500,000</w:t>
            </w:r>
          </w:p>
        </w:tc>
        <w:tc>
          <w:tcPr>
            <w:tcW w:w="1699" w:type="dxa"/>
            <w:vAlign w:val="center"/>
          </w:tcPr>
          <w:p w14:paraId="67124C3D"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Буџет на РСМ</w:t>
            </w:r>
          </w:p>
        </w:tc>
        <w:tc>
          <w:tcPr>
            <w:tcW w:w="3346" w:type="dxa"/>
            <w:vMerge w:val="restart"/>
            <w:tcMar>
              <w:top w:w="35" w:type="dxa"/>
              <w:left w:w="45" w:type="dxa"/>
              <w:bottom w:w="35" w:type="dxa"/>
              <w:right w:w="45" w:type="dxa"/>
            </w:tcMar>
            <w:vAlign w:val="center"/>
          </w:tcPr>
          <w:p w14:paraId="4403B19A"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Показател на резултат: Надлежно ВИ регулаторно тело со стручен капацитет.</w:t>
            </w:r>
          </w:p>
          <w:p w14:paraId="5CC13AEF"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Почетна вредност (2027): Нема анализа, одлука или екипиран регулаторен тим.</w:t>
            </w:r>
          </w:p>
          <w:p w14:paraId="7BFEC26E" w14:textId="77777777" w:rsidR="00FE200F" w:rsidRDefault="00E77CAF">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 xml:space="preserve">Преодна вредност (2028): Донесена одлука и најмалку 2 екипирани регулатори. </w:t>
            </w:r>
          </w:p>
          <w:p w14:paraId="7775ED78" w14:textId="77777777" w:rsidR="00FE200F" w:rsidRDefault="00E77CAF">
            <w:pPr>
              <w:spacing w:line="216" w:lineRule="auto"/>
              <w:rPr>
                <w:rFonts w:ascii="Times New Roman" w:hAnsi="Times New Roman" w:cs="Times New Roman"/>
                <w:sz w:val="16"/>
                <w:szCs w:val="16"/>
              </w:rPr>
            </w:pPr>
            <w:r>
              <w:rPr>
                <w:rFonts w:ascii="Times New Roman" w:eastAsia="Arial" w:hAnsi="Times New Roman" w:cs="Times New Roman"/>
                <w:sz w:val="16"/>
                <w:szCs w:val="16"/>
              </w:rPr>
              <w:t>Крајна вредност (2029): Донес</w:t>
            </w:r>
            <w:r>
              <w:rPr>
                <w:rFonts w:ascii="Times New Roman" w:eastAsia="Arial" w:hAnsi="Times New Roman" w:cs="Times New Roman"/>
                <w:sz w:val="16"/>
                <w:szCs w:val="16"/>
              </w:rPr>
              <w:t>ена одлука и најмалку 5 екипирани регулатори.</w:t>
            </w:r>
          </w:p>
        </w:tc>
      </w:tr>
      <w:tr w:rsidR="000E5E74" w14:paraId="1675ED1F" w14:textId="77777777" w:rsidTr="000E5E74">
        <w:trPr>
          <w:cantSplit/>
          <w:jc w:val="center"/>
        </w:trPr>
        <w:tc>
          <w:tcPr>
            <w:tcW w:w="1901" w:type="dxa"/>
            <w:vMerge/>
            <w:tcMar>
              <w:top w:w="50" w:type="dxa"/>
              <w:left w:w="55" w:type="dxa"/>
              <w:bottom w:w="50" w:type="dxa"/>
              <w:right w:w="55" w:type="dxa"/>
            </w:tcMar>
          </w:tcPr>
          <w:p w14:paraId="3BA0BA7B" w14:textId="77777777" w:rsidR="000E5E74" w:rsidRDefault="000E5E74" w:rsidP="000E5E74">
            <w:pPr>
              <w:rPr>
                <w:rFonts w:ascii="Times New Roman" w:hAnsi="Times New Roman" w:cs="Times New Roman"/>
                <w:sz w:val="16"/>
                <w:szCs w:val="16"/>
              </w:rPr>
            </w:pPr>
          </w:p>
        </w:tc>
        <w:tc>
          <w:tcPr>
            <w:tcW w:w="3203" w:type="dxa"/>
            <w:vAlign w:val="center"/>
          </w:tcPr>
          <w:p w14:paraId="201ECCAA"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А5.1.2.2. Донесување на одлука и обезбедување на ресурси</w:t>
            </w:r>
          </w:p>
        </w:tc>
        <w:tc>
          <w:tcPr>
            <w:tcW w:w="1899" w:type="dxa"/>
            <w:tcMar>
              <w:top w:w="50" w:type="dxa"/>
              <w:left w:w="55" w:type="dxa"/>
              <w:bottom w:w="50" w:type="dxa"/>
              <w:right w:w="55" w:type="dxa"/>
            </w:tcMar>
          </w:tcPr>
          <w:p w14:paraId="589E6747"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Влада на РСМ</w:t>
            </w:r>
            <w:r>
              <w:rPr>
                <w:rFonts w:ascii="Times New Roman" w:hAnsi="Times New Roman" w:cs="Times New Roman"/>
                <w:sz w:val="16"/>
                <w:szCs w:val="16"/>
              </w:rPr>
              <w:br/>
            </w:r>
            <w:r>
              <w:rPr>
                <w:rFonts w:ascii="Times New Roman" w:eastAsia="Arial" w:hAnsi="Times New Roman" w:cs="Times New Roman"/>
                <w:sz w:val="16"/>
                <w:szCs w:val="16"/>
              </w:rPr>
              <w:t>МДТ</w:t>
            </w:r>
          </w:p>
        </w:tc>
        <w:tc>
          <w:tcPr>
            <w:tcW w:w="1152" w:type="dxa"/>
            <w:tcMar>
              <w:top w:w="50" w:type="dxa"/>
              <w:left w:w="55" w:type="dxa"/>
              <w:bottom w:w="50" w:type="dxa"/>
              <w:right w:w="55" w:type="dxa"/>
            </w:tcMar>
          </w:tcPr>
          <w:p w14:paraId="4FED009C"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Q1 2028</w:t>
            </w:r>
          </w:p>
        </w:tc>
        <w:tc>
          <w:tcPr>
            <w:tcW w:w="1299" w:type="dxa"/>
            <w:tcMar>
              <w:top w:w="50" w:type="dxa"/>
              <w:left w:w="55" w:type="dxa"/>
              <w:bottom w:w="50" w:type="dxa"/>
              <w:right w:w="55" w:type="dxa"/>
            </w:tcMar>
          </w:tcPr>
          <w:p w14:paraId="523D3723"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Q4 2028</w:t>
            </w:r>
          </w:p>
        </w:tc>
        <w:tc>
          <w:tcPr>
            <w:tcW w:w="1501" w:type="dxa"/>
            <w:tcMar>
              <w:top w:w="50" w:type="dxa"/>
              <w:left w:w="55" w:type="dxa"/>
              <w:bottom w:w="50" w:type="dxa"/>
              <w:right w:w="55" w:type="dxa"/>
            </w:tcMar>
            <w:vAlign w:val="center"/>
          </w:tcPr>
          <w:p w14:paraId="11792B16" w14:textId="0BC38C94"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lang w:val="mk-MK"/>
              </w:rPr>
              <w:t>0</w:t>
            </w:r>
          </w:p>
        </w:tc>
        <w:tc>
          <w:tcPr>
            <w:tcW w:w="1699" w:type="dxa"/>
            <w:tcMar>
              <w:top w:w="50" w:type="dxa"/>
              <w:left w:w="55" w:type="dxa"/>
              <w:bottom w:w="50" w:type="dxa"/>
              <w:right w:w="55" w:type="dxa"/>
            </w:tcMar>
          </w:tcPr>
          <w:p w14:paraId="707697A6"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Буџет на РСМ</w:t>
            </w:r>
          </w:p>
        </w:tc>
        <w:tc>
          <w:tcPr>
            <w:tcW w:w="3346" w:type="dxa"/>
            <w:vMerge/>
            <w:tcMar>
              <w:top w:w="50" w:type="dxa"/>
              <w:left w:w="55" w:type="dxa"/>
              <w:bottom w:w="50" w:type="dxa"/>
              <w:right w:w="55" w:type="dxa"/>
            </w:tcMar>
          </w:tcPr>
          <w:p w14:paraId="10A49F0A" w14:textId="77777777" w:rsidR="000E5E74" w:rsidRDefault="000E5E74" w:rsidP="000E5E74">
            <w:pPr>
              <w:rPr>
                <w:rFonts w:ascii="Times New Roman" w:hAnsi="Times New Roman" w:cs="Times New Roman"/>
                <w:sz w:val="16"/>
                <w:szCs w:val="16"/>
              </w:rPr>
            </w:pPr>
          </w:p>
        </w:tc>
      </w:tr>
      <w:tr w:rsidR="000E5E74" w14:paraId="45044760" w14:textId="77777777" w:rsidTr="002333C1">
        <w:trPr>
          <w:cantSplit/>
          <w:jc w:val="center"/>
        </w:trPr>
        <w:tc>
          <w:tcPr>
            <w:tcW w:w="1901" w:type="dxa"/>
            <w:vMerge/>
            <w:tcMar>
              <w:top w:w="50" w:type="dxa"/>
              <w:left w:w="55" w:type="dxa"/>
              <w:bottom w:w="50" w:type="dxa"/>
              <w:right w:w="55" w:type="dxa"/>
            </w:tcMar>
          </w:tcPr>
          <w:p w14:paraId="4516715D" w14:textId="77777777" w:rsidR="000E5E74" w:rsidRDefault="000E5E74" w:rsidP="000E5E74">
            <w:pPr>
              <w:rPr>
                <w:rFonts w:ascii="Times New Roman" w:hAnsi="Times New Roman" w:cs="Times New Roman"/>
                <w:sz w:val="16"/>
                <w:szCs w:val="16"/>
              </w:rPr>
            </w:pPr>
          </w:p>
        </w:tc>
        <w:tc>
          <w:tcPr>
            <w:tcW w:w="3203" w:type="dxa"/>
            <w:vAlign w:val="center"/>
          </w:tcPr>
          <w:p w14:paraId="0907D1FB"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А5.1.2.3. Екипирање и обука на регулаторниот тим</w:t>
            </w:r>
          </w:p>
        </w:tc>
        <w:tc>
          <w:tcPr>
            <w:tcW w:w="1899" w:type="dxa"/>
            <w:tcMar>
              <w:top w:w="50" w:type="dxa"/>
              <w:left w:w="55" w:type="dxa"/>
              <w:bottom w:w="50" w:type="dxa"/>
              <w:right w:w="55" w:type="dxa"/>
            </w:tcMar>
          </w:tcPr>
          <w:p w14:paraId="0C0F51D2"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Влада на РСМ</w:t>
            </w:r>
            <w:r>
              <w:rPr>
                <w:rFonts w:ascii="Times New Roman" w:hAnsi="Times New Roman" w:cs="Times New Roman"/>
                <w:sz w:val="16"/>
                <w:szCs w:val="16"/>
              </w:rPr>
              <w:br/>
            </w:r>
            <w:r>
              <w:rPr>
                <w:rFonts w:ascii="Times New Roman" w:eastAsia="Arial" w:hAnsi="Times New Roman" w:cs="Times New Roman"/>
                <w:sz w:val="16"/>
                <w:szCs w:val="16"/>
              </w:rPr>
              <w:t>МДТ</w:t>
            </w:r>
          </w:p>
        </w:tc>
        <w:tc>
          <w:tcPr>
            <w:tcW w:w="1152" w:type="dxa"/>
            <w:tcMar>
              <w:top w:w="50" w:type="dxa"/>
              <w:left w:w="55" w:type="dxa"/>
              <w:bottom w:w="50" w:type="dxa"/>
              <w:right w:w="55" w:type="dxa"/>
            </w:tcMar>
          </w:tcPr>
          <w:p w14:paraId="42C28B47"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Q1 2028</w:t>
            </w:r>
          </w:p>
        </w:tc>
        <w:tc>
          <w:tcPr>
            <w:tcW w:w="1299" w:type="dxa"/>
            <w:tcMar>
              <w:top w:w="50" w:type="dxa"/>
              <w:left w:w="55" w:type="dxa"/>
              <w:bottom w:w="50" w:type="dxa"/>
              <w:right w:w="55" w:type="dxa"/>
            </w:tcMar>
          </w:tcPr>
          <w:p w14:paraId="3C660027"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Q4 2028</w:t>
            </w:r>
          </w:p>
        </w:tc>
        <w:tc>
          <w:tcPr>
            <w:tcW w:w="1501" w:type="dxa"/>
            <w:tcMar>
              <w:top w:w="50" w:type="dxa"/>
              <w:left w:w="55" w:type="dxa"/>
              <w:bottom w:w="50" w:type="dxa"/>
              <w:right w:w="55" w:type="dxa"/>
            </w:tcMar>
            <w:vAlign w:val="center"/>
          </w:tcPr>
          <w:p w14:paraId="3020BE72" w14:textId="22A3DB1D" w:rsidR="000E5E74" w:rsidRPr="000E5E74" w:rsidRDefault="000E5E74" w:rsidP="000E5E74">
            <w:pPr>
              <w:spacing w:line="216" w:lineRule="auto"/>
              <w:rPr>
                <w:rFonts w:ascii="Times New Roman" w:hAnsi="Times New Roman" w:cs="Times New Roman"/>
                <w:sz w:val="16"/>
                <w:szCs w:val="16"/>
                <w:lang w:val="mk-MK"/>
              </w:rPr>
            </w:pPr>
            <w:r>
              <w:rPr>
                <w:rFonts w:ascii="Times New Roman" w:eastAsia="Arial" w:hAnsi="Times New Roman" w:cs="Times New Roman"/>
                <w:sz w:val="16"/>
                <w:szCs w:val="16"/>
                <w:lang w:val="mk-MK"/>
              </w:rPr>
              <w:t>1,500,000</w:t>
            </w:r>
          </w:p>
        </w:tc>
        <w:tc>
          <w:tcPr>
            <w:tcW w:w="1699" w:type="dxa"/>
            <w:tcMar>
              <w:top w:w="50" w:type="dxa"/>
              <w:left w:w="55" w:type="dxa"/>
              <w:bottom w:w="50" w:type="dxa"/>
              <w:right w:w="55" w:type="dxa"/>
            </w:tcMar>
          </w:tcPr>
          <w:p w14:paraId="7336F2ED"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Буџет на РСМ</w:t>
            </w:r>
          </w:p>
        </w:tc>
        <w:tc>
          <w:tcPr>
            <w:tcW w:w="3346" w:type="dxa"/>
            <w:vMerge/>
            <w:tcMar>
              <w:top w:w="50" w:type="dxa"/>
              <w:left w:w="55" w:type="dxa"/>
              <w:bottom w:w="50" w:type="dxa"/>
              <w:right w:w="55" w:type="dxa"/>
            </w:tcMar>
          </w:tcPr>
          <w:p w14:paraId="1E12744C" w14:textId="77777777" w:rsidR="000E5E74" w:rsidRDefault="000E5E74" w:rsidP="000E5E74">
            <w:pPr>
              <w:rPr>
                <w:rFonts w:ascii="Times New Roman" w:hAnsi="Times New Roman" w:cs="Times New Roman"/>
                <w:sz w:val="16"/>
                <w:szCs w:val="16"/>
              </w:rPr>
            </w:pPr>
          </w:p>
        </w:tc>
      </w:tr>
      <w:tr w:rsidR="000E5E74" w14:paraId="5570F448" w14:textId="77777777" w:rsidTr="000E5E74">
        <w:trPr>
          <w:cantSplit/>
          <w:jc w:val="center"/>
        </w:trPr>
        <w:tc>
          <w:tcPr>
            <w:tcW w:w="8155" w:type="dxa"/>
            <w:gridSpan w:val="4"/>
            <w:shd w:val="clear" w:color="auto" w:fill="E7E6E6"/>
            <w:vAlign w:val="center"/>
          </w:tcPr>
          <w:p w14:paraId="5032F774"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b/>
                <w:sz w:val="16"/>
                <w:szCs w:val="16"/>
              </w:rPr>
              <w:t>Посебна цел 5.2. Хармонизација на постоечката регулатива со ВИ</w:t>
            </w:r>
          </w:p>
        </w:tc>
        <w:tc>
          <w:tcPr>
            <w:tcW w:w="7845" w:type="dxa"/>
            <w:gridSpan w:val="4"/>
            <w:shd w:val="clear" w:color="auto" w:fill="F2F2F2"/>
            <w:vAlign w:val="center"/>
          </w:tcPr>
          <w:p w14:paraId="4E4C0537"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ПОКАЗАТЕЛ НА ИСХОД: Хармонизирани прописи за податоци, авторски права и одговорност.Почетна вредност (2027): Нема специфични ВИ анализи или измени.Преодна вредност (2028): 1 анализа и 2 подготвени/усвоени законски измени. Крајна вредност (2029): 1 анализа и 3 подготвени/усвоени законски измени.</w:t>
            </w:r>
          </w:p>
        </w:tc>
      </w:tr>
      <w:tr w:rsidR="000E5E74" w14:paraId="720B41D4" w14:textId="77777777" w:rsidTr="000E5E74">
        <w:trPr>
          <w:cantSplit/>
          <w:jc w:val="center"/>
        </w:trPr>
        <w:tc>
          <w:tcPr>
            <w:tcW w:w="1901" w:type="dxa"/>
            <w:vMerge w:val="restart"/>
            <w:vAlign w:val="center"/>
          </w:tcPr>
          <w:p w14:paraId="69585E2C"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b/>
                <w:sz w:val="16"/>
                <w:szCs w:val="16"/>
              </w:rPr>
              <w:t>М5.2.1. Ажурирање на законите за ЗЗЛП, авторски права и одговорност</w:t>
            </w:r>
          </w:p>
        </w:tc>
        <w:tc>
          <w:tcPr>
            <w:tcW w:w="3203" w:type="dxa"/>
            <w:vAlign w:val="center"/>
          </w:tcPr>
          <w:p w14:paraId="7E21AD06"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А5.2.1.1. Анализа на влијанието на ВИ врз Законот за ЗЗЛП, Законот за авторски права и Законот за облигации</w:t>
            </w:r>
          </w:p>
        </w:tc>
        <w:tc>
          <w:tcPr>
            <w:tcW w:w="1899" w:type="dxa"/>
            <w:vAlign w:val="center"/>
          </w:tcPr>
          <w:p w14:paraId="6CF7C6B9" w14:textId="77777777" w:rsidR="000E5E74" w:rsidRDefault="000E5E74" w:rsidP="000E5E74">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АЗЛП</w:t>
            </w:r>
            <w:r>
              <w:rPr>
                <w:rFonts w:ascii="Times New Roman" w:hAnsi="Times New Roman" w:cs="Times New Roman"/>
                <w:sz w:val="16"/>
                <w:szCs w:val="16"/>
              </w:rPr>
              <w:br/>
            </w:r>
            <w:r>
              <w:rPr>
                <w:rFonts w:ascii="Times New Roman" w:eastAsia="Arial" w:hAnsi="Times New Roman" w:cs="Times New Roman"/>
                <w:sz w:val="16"/>
                <w:szCs w:val="16"/>
              </w:rPr>
              <w:t>Министерство за правда</w:t>
            </w:r>
            <w:r>
              <w:rPr>
                <w:rFonts w:ascii="Times New Roman" w:hAnsi="Times New Roman" w:cs="Times New Roman"/>
                <w:sz w:val="16"/>
                <w:szCs w:val="16"/>
              </w:rPr>
              <w:br/>
            </w:r>
            <w:r>
              <w:rPr>
                <w:rFonts w:ascii="Times New Roman" w:eastAsia="Arial" w:hAnsi="Times New Roman" w:cs="Times New Roman"/>
                <w:sz w:val="16"/>
                <w:szCs w:val="16"/>
              </w:rPr>
              <w:t>МДТ</w:t>
            </w:r>
          </w:p>
          <w:p w14:paraId="788F97AC" w14:textId="77777777" w:rsidR="000E5E74" w:rsidRDefault="000E5E74" w:rsidP="000E5E74">
            <w:pPr>
              <w:spacing w:line="216" w:lineRule="auto"/>
              <w:rPr>
                <w:rFonts w:ascii="Times New Roman" w:hAnsi="Times New Roman" w:cs="Times New Roman"/>
                <w:sz w:val="16"/>
                <w:szCs w:val="16"/>
                <w:lang w:val="mk-MK"/>
              </w:rPr>
            </w:pPr>
            <w:r>
              <w:rPr>
                <w:rFonts w:ascii="Times New Roman" w:eastAsia="Arial" w:hAnsi="Times New Roman" w:cs="Times New Roman"/>
                <w:sz w:val="16"/>
                <w:szCs w:val="16"/>
                <w:lang w:val="mk-MK"/>
              </w:rPr>
              <w:t>АЗЛП</w:t>
            </w:r>
          </w:p>
        </w:tc>
        <w:tc>
          <w:tcPr>
            <w:tcW w:w="1152" w:type="dxa"/>
            <w:vAlign w:val="center"/>
          </w:tcPr>
          <w:p w14:paraId="37BA940D"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Q2 2028</w:t>
            </w:r>
          </w:p>
        </w:tc>
        <w:tc>
          <w:tcPr>
            <w:tcW w:w="1299" w:type="dxa"/>
            <w:vAlign w:val="center"/>
          </w:tcPr>
          <w:p w14:paraId="0BCE863A"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Q2 2029</w:t>
            </w:r>
          </w:p>
        </w:tc>
        <w:tc>
          <w:tcPr>
            <w:tcW w:w="1501" w:type="dxa"/>
            <w:vAlign w:val="center"/>
          </w:tcPr>
          <w:p w14:paraId="0D0007D6" w14:textId="43B5B78E" w:rsidR="000E5E74" w:rsidRPr="000E5E74" w:rsidRDefault="000E5E74" w:rsidP="000E5E74">
            <w:pPr>
              <w:spacing w:line="216" w:lineRule="auto"/>
              <w:rPr>
                <w:rFonts w:ascii="Times New Roman" w:hAnsi="Times New Roman" w:cs="Times New Roman"/>
                <w:sz w:val="16"/>
                <w:szCs w:val="16"/>
                <w:lang w:val="mk-MK"/>
              </w:rPr>
            </w:pPr>
            <w:r>
              <w:rPr>
                <w:rFonts w:ascii="Times New Roman" w:eastAsia="Arial" w:hAnsi="Times New Roman" w:cs="Times New Roman"/>
                <w:sz w:val="16"/>
                <w:szCs w:val="16"/>
                <w:lang w:val="mk-MK"/>
              </w:rPr>
              <w:t>1.500.000</w:t>
            </w:r>
          </w:p>
        </w:tc>
        <w:tc>
          <w:tcPr>
            <w:tcW w:w="1699" w:type="dxa"/>
            <w:vAlign w:val="center"/>
          </w:tcPr>
          <w:p w14:paraId="55394906"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Буџет на РСМ</w:t>
            </w:r>
          </w:p>
        </w:tc>
        <w:tc>
          <w:tcPr>
            <w:tcW w:w="3346" w:type="dxa"/>
            <w:vMerge w:val="restart"/>
            <w:tcMar>
              <w:top w:w="35" w:type="dxa"/>
              <w:left w:w="45" w:type="dxa"/>
              <w:bottom w:w="35" w:type="dxa"/>
              <w:right w:w="45" w:type="dxa"/>
            </w:tcMar>
            <w:vAlign w:val="center"/>
          </w:tcPr>
          <w:p w14:paraId="11B3526F" w14:textId="77777777" w:rsidR="000E5E74" w:rsidRDefault="000E5E74" w:rsidP="000E5E74">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Показател на резултат: Измени на прописи подготвени и усвоени за ВИ контекст.</w:t>
            </w:r>
          </w:p>
          <w:p w14:paraId="276E2B57" w14:textId="77777777" w:rsidR="000E5E74" w:rsidRDefault="000E5E74" w:rsidP="000E5E74">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Почетна вредност (2027): 0 анализи и 0 законски измени.</w:t>
            </w:r>
          </w:p>
          <w:p w14:paraId="4881793A" w14:textId="77777777" w:rsidR="000E5E74" w:rsidRDefault="000E5E74" w:rsidP="000E5E74">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 xml:space="preserve">Преодна вредност (2028): 1 анализа и 2 подготвени/усвоени измени. </w:t>
            </w:r>
          </w:p>
          <w:p w14:paraId="2A1490FF"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Крајна вредност (2029): 1 анализа и 3 подготвени/усвоени измени.</w:t>
            </w:r>
          </w:p>
        </w:tc>
      </w:tr>
      <w:tr w:rsidR="000E5E74" w14:paraId="5139B618" w14:textId="77777777" w:rsidTr="002C39D6">
        <w:trPr>
          <w:cantSplit/>
          <w:jc w:val="center"/>
        </w:trPr>
        <w:tc>
          <w:tcPr>
            <w:tcW w:w="1901" w:type="dxa"/>
            <w:vMerge/>
            <w:tcMar>
              <w:top w:w="50" w:type="dxa"/>
              <w:left w:w="55" w:type="dxa"/>
              <w:bottom w:w="50" w:type="dxa"/>
              <w:right w:w="55" w:type="dxa"/>
            </w:tcMar>
          </w:tcPr>
          <w:p w14:paraId="34E94EE3" w14:textId="77777777" w:rsidR="000E5E74" w:rsidRDefault="000E5E74" w:rsidP="000E5E74">
            <w:pPr>
              <w:rPr>
                <w:rFonts w:ascii="Times New Roman" w:hAnsi="Times New Roman" w:cs="Times New Roman"/>
                <w:sz w:val="16"/>
                <w:szCs w:val="16"/>
              </w:rPr>
            </w:pPr>
          </w:p>
        </w:tc>
        <w:tc>
          <w:tcPr>
            <w:tcW w:w="3203" w:type="dxa"/>
            <w:vAlign w:val="center"/>
          </w:tcPr>
          <w:p w14:paraId="75843174"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А5.2.1.2. Подготовка на измени и дополнувања</w:t>
            </w:r>
          </w:p>
        </w:tc>
        <w:tc>
          <w:tcPr>
            <w:tcW w:w="1899" w:type="dxa"/>
            <w:tcMar>
              <w:top w:w="50" w:type="dxa"/>
              <w:left w:w="55" w:type="dxa"/>
              <w:bottom w:w="50" w:type="dxa"/>
              <w:right w:w="55" w:type="dxa"/>
            </w:tcMar>
          </w:tcPr>
          <w:p w14:paraId="6B6A2AEB"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АЗЛП</w:t>
            </w:r>
            <w:r>
              <w:rPr>
                <w:rFonts w:ascii="Times New Roman" w:hAnsi="Times New Roman" w:cs="Times New Roman"/>
                <w:sz w:val="16"/>
                <w:szCs w:val="16"/>
              </w:rPr>
              <w:br/>
            </w:r>
            <w:r>
              <w:rPr>
                <w:rFonts w:ascii="Times New Roman" w:eastAsia="Arial" w:hAnsi="Times New Roman" w:cs="Times New Roman"/>
                <w:sz w:val="16"/>
                <w:szCs w:val="16"/>
              </w:rPr>
              <w:t>Министерство за правда</w:t>
            </w:r>
            <w:r>
              <w:rPr>
                <w:rFonts w:ascii="Times New Roman" w:hAnsi="Times New Roman" w:cs="Times New Roman"/>
                <w:sz w:val="16"/>
                <w:szCs w:val="16"/>
              </w:rPr>
              <w:br/>
            </w:r>
            <w:r>
              <w:rPr>
                <w:rFonts w:ascii="Times New Roman" w:eastAsia="Arial" w:hAnsi="Times New Roman" w:cs="Times New Roman"/>
                <w:sz w:val="16"/>
                <w:szCs w:val="16"/>
              </w:rPr>
              <w:t>МДТ</w:t>
            </w:r>
          </w:p>
        </w:tc>
        <w:tc>
          <w:tcPr>
            <w:tcW w:w="1152" w:type="dxa"/>
            <w:tcMar>
              <w:top w:w="50" w:type="dxa"/>
              <w:left w:w="55" w:type="dxa"/>
              <w:bottom w:w="50" w:type="dxa"/>
              <w:right w:w="55" w:type="dxa"/>
            </w:tcMar>
          </w:tcPr>
          <w:p w14:paraId="62FD7C45"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Q2 2028</w:t>
            </w:r>
          </w:p>
        </w:tc>
        <w:tc>
          <w:tcPr>
            <w:tcW w:w="1299" w:type="dxa"/>
            <w:tcMar>
              <w:top w:w="50" w:type="dxa"/>
              <w:left w:w="55" w:type="dxa"/>
              <w:bottom w:w="50" w:type="dxa"/>
              <w:right w:w="55" w:type="dxa"/>
            </w:tcMar>
          </w:tcPr>
          <w:p w14:paraId="3195497F"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Q2 2029</w:t>
            </w:r>
          </w:p>
        </w:tc>
        <w:tc>
          <w:tcPr>
            <w:tcW w:w="1501" w:type="dxa"/>
            <w:tcMar>
              <w:top w:w="50" w:type="dxa"/>
              <w:left w:w="55" w:type="dxa"/>
              <w:bottom w:w="50" w:type="dxa"/>
              <w:right w:w="55" w:type="dxa"/>
            </w:tcMar>
            <w:vAlign w:val="center"/>
          </w:tcPr>
          <w:p w14:paraId="47314C3A" w14:textId="0705650B"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lang w:val="mk-MK"/>
              </w:rPr>
              <w:t>1.500.000</w:t>
            </w:r>
          </w:p>
        </w:tc>
        <w:tc>
          <w:tcPr>
            <w:tcW w:w="1699" w:type="dxa"/>
            <w:tcMar>
              <w:top w:w="50" w:type="dxa"/>
              <w:left w:w="55" w:type="dxa"/>
              <w:bottom w:w="50" w:type="dxa"/>
              <w:right w:w="55" w:type="dxa"/>
            </w:tcMar>
          </w:tcPr>
          <w:p w14:paraId="494624A9"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Буџет на РСМ</w:t>
            </w:r>
          </w:p>
        </w:tc>
        <w:tc>
          <w:tcPr>
            <w:tcW w:w="3346" w:type="dxa"/>
            <w:vMerge/>
            <w:tcMar>
              <w:top w:w="50" w:type="dxa"/>
              <w:left w:w="55" w:type="dxa"/>
              <w:bottom w:w="50" w:type="dxa"/>
              <w:right w:w="55" w:type="dxa"/>
            </w:tcMar>
          </w:tcPr>
          <w:p w14:paraId="22F94E33" w14:textId="77777777" w:rsidR="000E5E74" w:rsidRDefault="000E5E74" w:rsidP="000E5E74">
            <w:pPr>
              <w:rPr>
                <w:rFonts w:ascii="Times New Roman" w:hAnsi="Times New Roman" w:cs="Times New Roman"/>
                <w:sz w:val="16"/>
                <w:szCs w:val="16"/>
              </w:rPr>
            </w:pPr>
          </w:p>
        </w:tc>
      </w:tr>
      <w:tr w:rsidR="000E5E74" w14:paraId="59649066" w14:textId="77777777" w:rsidTr="000E5E74">
        <w:trPr>
          <w:cantSplit/>
          <w:jc w:val="center"/>
        </w:trPr>
        <w:tc>
          <w:tcPr>
            <w:tcW w:w="1901" w:type="dxa"/>
            <w:vMerge/>
            <w:tcMar>
              <w:top w:w="50" w:type="dxa"/>
              <w:left w:w="55" w:type="dxa"/>
              <w:bottom w:w="50" w:type="dxa"/>
              <w:right w:w="55" w:type="dxa"/>
            </w:tcMar>
          </w:tcPr>
          <w:p w14:paraId="2E0BA012" w14:textId="77777777" w:rsidR="000E5E74" w:rsidRDefault="000E5E74" w:rsidP="000E5E74">
            <w:pPr>
              <w:rPr>
                <w:rFonts w:ascii="Times New Roman" w:hAnsi="Times New Roman" w:cs="Times New Roman"/>
                <w:sz w:val="16"/>
                <w:szCs w:val="16"/>
              </w:rPr>
            </w:pPr>
          </w:p>
        </w:tc>
        <w:tc>
          <w:tcPr>
            <w:tcW w:w="3203" w:type="dxa"/>
            <w:vAlign w:val="center"/>
          </w:tcPr>
          <w:p w14:paraId="0F0894DB"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А5.2.1.3. Усвојување на измените</w:t>
            </w:r>
          </w:p>
        </w:tc>
        <w:tc>
          <w:tcPr>
            <w:tcW w:w="1899" w:type="dxa"/>
            <w:tcMar>
              <w:top w:w="50" w:type="dxa"/>
              <w:left w:w="55" w:type="dxa"/>
              <w:bottom w:w="50" w:type="dxa"/>
              <w:right w:w="55" w:type="dxa"/>
            </w:tcMar>
          </w:tcPr>
          <w:p w14:paraId="57433F84"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АЗЛП</w:t>
            </w:r>
            <w:r>
              <w:rPr>
                <w:rFonts w:ascii="Times New Roman" w:hAnsi="Times New Roman" w:cs="Times New Roman"/>
                <w:sz w:val="16"/>
                <w:szCs w:val="16"/>
              </w:rPr>
              <w:br/>
            </w:r>
            <w:r>
              <w:rPr>
                <w:rFonts w:ascii="Times New Roman" w:eastAsia="Arial" w:hAnsi="Times New Roman" w:cs="Times New Roman"/>
                <w:sz w:val="16"/>
                <w:szCs w:val="16"/>
              </w:rPr>
              <w:t>Министерство за правда</w:t>
            </w:r>
            <w:r>
              <w:rPr>
                <w:rFonts w:ascii="Times New Roman" w:hAnsi="Times New Roman" w:cs="Times New Roman"/>
                <w:sz w:val="16"/>
                <w:szCs w:val="16"/>
              </w:rPr>
              <w:br/>
            </w:r>
            <w:r>
              <w:rPr>
                <w:rFonts w:ascii="Times New Roman" w:eastAsia="Arial" w:hAnsi="Times New Roman" w:cs="Times New Roman"/>
                <w:sz w:val="16"/>
                <w:szCs w:val="16"/>
              </w:rPr>
              <w:t>МДТ</w:t>
            </w:r>
          </w:p>
        </w:tc>
        <w:tc>
          <w:tcPr>
            <w:tcW w:w="1152" w:type="dxa"/>
            <w:tcMar>
              <w:top w:w="50" w:type="dxa"/>
              <w:left w:w="55" w:type="dxa"/>
              <w:bottom w:w="50" w:type="dxa"/>
              <w:right w:w="55" w:type="dxa"/>
            </w:tcMar>
          </w:tcPr>
          <w:p w14:paraId="49E8A05E"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Q2 2028</w:t>
            </w:r>
          </w:p>
        </w:tc>
        <w:tc>
          <w:tcPr>
            <w:tcW w:w="1299" w:type="dxa"/>
            <w:tcMar>
              <w:top w:w="50" w:type="dxa"/>
              <w:left w:w="55" w:type="dxa"/>
              <w:bottom w:w="50" w:type="dxa"/>
              <w:right w:w="55" w:type="dxa"/>
            </w:tcMar>
          </w:tcPr>
          <w:p w14:paraId="7C5D01D3"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Q2 2029</w:t>
            </w:r>
          </w:p>
        </w:tc>
        <w:tc>
          <w:tcPr>
            <w:tcW w:w="1501" w:type="dxa"/>
            <w:tcMar>
              <w:top w:w="50" w:type="dxa"/>
              <w:left w:w="55" w:type="dxa"/>
              <w:bottom w:w="50" w:type="dxa"/>
              <w:right w:w="55" w:type="dxa"/>
            </w:tcMar>
          </w:tcPr>
          <w:p w14:paraId="171BE707" w14:textId="69C31C5A" w:rsidR="000E5E74" w:rsidRPr="000E5E74" w:rsidRDefault="000E5E74" w:rsidP="000E5E74">
            <w:pPr>
              <w:spacing w:line="216" w:lineRule="auto"/>
              <w:rPr>
                <w:rFonts w:ascii="Times New Roman" w:hAnsi="Times New Roman" w:cs="Times New Roman"/>
                <w:sz w:val="16"/>
                <w:szCs w:val="16"/>
                <w:lang w:val="mk-MK"/>
              </w:rPr>
            </w:pPr>
            <w:r>
              <w:rPr>
                <w:rFonts w:ascii="Times New Roman" w:eastAsia="Arial" w:hAnsi="Times New Roman" w:cs="Times New Roman"/>
                <w:sz w:val="16"/>
                <w:szCs w:val="16"/>
                <w:lang w:val="mk-MK"/>
              </w:rPr>
              <w:t>0</w:t>
            </w:r>
          </w:p>
        </w:tc>
        <w:tc>
          <w:tcPr>
            <w:tcW w:w="1699" w:type="dxa"/>
            <w:tcMar>
              <w:top w:w="50" w:type="dxa"/>
              <w:left w:w="55" w:type="dxa"/>
              <w:bottom w:w="50" w:type="dxa"/>
              <w:right w:w="55" w:type="dxa"/>
            </w:tcMar>
          </w:tcPr>
          <w:p w14:paraId="247AB643"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Буџет на РСМ</w:t>
            </w:r>
          </w:p>
        </w:tc>
        <w:tc>
          <w:tcPr>
            <w:tcW w:w="3346" w:type="dxa"/>
            <w:vMerge/>
            <w:tcMar>
              <w:top w:w="50" w:type="dxa"/>
              <w:left w:w="55" w:type="dxa"/>
              <w:bottom w:w="50" w:type="dxa"/>
              <w:right w:w="55" w:type="dxa"/>
            </w:tcMar>
          </w:tcPr>
          <w:p w14:paraId="12AEDD18" w14:textId="77777777" w:rsidR="000E5E74" w:rsidRDefault="000E5E74" w:rsidP="000E5E74">
            <w:pPr>
              <w:rPr>
                <w:rFonts w:ascii="Times New Roman" w:hAnsi="Times New Roman" w:cs="Times New Roman"/>
                <w:sz w:val="16"/>
                <w:szCs w:val="16"/>
              </w:rPr>
            </w:pPr>
          </w:p>
        </w:tc>
      </w:tr>
      <w:tr w:rsidR="000E5E74" w14:paraId="26D5289B" w14:textId="77777777" w:rsidTr="000E5E74">
        <w:trPr>
          <w:cantSplit/>
          <w:jc w:val="center"/>
        </w:trPr>
        <w:tc>
          <w:tcPr>
            <w:tcW w:w="8155" w:type="dxa"/>
            <w:gridSpan w:val="4"/>
            <w:shd w:val="clear" w:color="auto" w:fill="E7E6E6"/>
            <w:vAlign w:val="center"/>
          </w:tcPr>
          <w:p w14:paraId="0204791E" w14:textId="77777777" w:rsidR="000E5E74" w:rsidRDefault="000E5E74" w:rsidP="000E5E74">
            <w:pPr>
              <w:spacing w:line="228" w:lineRule="auto"/>
              <w:rPr>
                <w:rFonts w:ascii="Times New Roman" w:hAnsi="Times New Roman" w:cs="Times New Roman"/>
                <w:sz w:val="16"/>
                <w:szCs w:val="16"/>
              </w:rPr>
            </w:pPr>
            <w:r>
              <w:rPr>
                <w:rFonts w:ascii="Times New Roman" w:eastAsia="Arial" w:hAnsi="Times New Roman" w:cs="Times New Roman"/>
                <w:b/>
                <w:sz w:val="16"/>
                <w:szCs w:val="16"/>
              </w:rPr>
              <w:t>Посебна цел 5.3. Етички стандарди, Regulatory Sandbox и меѓународна соработка</w:t>
            </w:r>
          </w:p>
        </w:tc>
        <w:tc>
          <w:tcPr>
            <w:tcW w:w="7845" w:type="dxa"/>
            <w:gridSpan w:val="4"/>
            <w:shd w:val="clear" w:color="auto" w:fill="F2F2F2"/>
            <w:vAlign w:val="center"/>
          </w:tcPr>
          <w:p w14:paraId="00A72222" w14:textId="77777777" w:rsidR="000E5E74" w:rsidRDefault="000E5E74" w:rsidP="000E5E74">
            <w:pPr>
              <w:spacing w:line="228" w:lineRule="auto"/>
              <w:rPr>
                <w:rFonts w:ascii="Times New Roman" w:hAnsi="Times New Roman" w:cs="Times New Roman"/>
                <w:sz w:val="16"/>
                <w:szCs w:val="16"/>
              </w:rPr>
            </w:pPr>
            <w:r>
              <w:rPr>
                <w:rFonts w:ascii="Times New Roman" w:eastAsia="Arial" w:hAnsi="Times New Roman" w:cs="Times New Roman"/>
                <w:sz w:val="16"/>
                <w:szCs w:val="16"/>
              </w:rPr>
              <w:t>ПОКАЗАТЕЛ НА ИСХОД: Применети етички насоки, оперативен Regulatory Sandbox и активно меѓународно позиционирање.Почетна вредност (2027): нема усвоени насоки, sandbox или формализирано учество во релевантни иницијативи.Преодна вредност (2028): усвоени насоки, sandbox со најмалку 2 пилоти и учество во најмалку 1 иницијатива. Крајна вредност (2029): усвоени насоки, sandbox со најмалку 3 пилоти и учество во најмалку 1 иницијатива.</w:t>
            </w:r>
          </w:p>
        </w:tc>
      </w:tr>
      <w:tr w:rsidR="000E5E74" w14:paraId="496F9EAB" w14:textId="77777777" w:rsidTr="000E5E74">
        <w:trPr>
          <w:cantSplit/>
          <w:jc w:val="center"/>
        </w:trPr>
        <w:tc>
          <w:tcPr>
            <w:tcW w:w="1901" w:type="dxa"/>
            <w:vMerge w:val="restart"/>
            <w:vAlign w:val="center"/>
          </w:tcPr>
          <w:p w14:paraId="5A8379E6"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b/>
                <w:sz w:val="16"/>
                <w:szCs w:val="16"/>
              </w:rPr>
              <w:lastRenderedPageBreak/>
              <w:t>М5.3.1. Национални етички насоки за одговорна ВИ</w:t>
            </w:r>
          </w:p>
        </w:tc>
        <w:tc>
          <w:tcPr>
            <w:tcW w:w="3203" w:type="dxa"/>
            <w:vAlign w:val="center"/>
          </w:tcPr>
          <w:p w14:paraId="00E8511D"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А5.3.1.1. Изработка на Етички кодекс за ВИ и методолошко упатство, базирани на EU Ethics Guidelines for Trustworthy AI. Упатството утврдува минимален документиран скрининг на ризик и влијание пред употреба на јавен ВИ систем и подетална, пропорционална проценка за систем со висок ризик или значајно влијание врз права. Опфаќа намена и правен основ, засегнати лица, податоци, тестирање за пристрасност, човечки надзор, пријави и жалби, мерки за ублажување и преостанат ризик. Кодексот содржи и дел за одговорна употреба на генеративна ВИ и синтетички содржини: означување на синтетички содржини што ги објавуваат јавните институции, проверка пред објавување и соработка за информациски ризици во рамките на постојните политики, со почитување на слободата на изразување, независноста на медиумите и заштитата на личните податоци.</w:t>
            </w:r>
          </w:p>
        </w:tc>
        <w:tc>
          <w:tcPr>
            <w:tcW w:w="1899" w:type="dxa"/>
            <w:vAlign w:val="center"/>
          </w:tcPr>
          <w:p w14:paraId="6B7C6FDE"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МДТ</w:t>
            </w:r>
            <w:r>
              <w:rPr>
                <w:rFonts w:ascii="Times New Roman" w:hAnsi="Times New Roman" w:cs="Times New Roman"/>
                <w:sz w:val="16"/>
                <w:szCs w:val="16"/>
              </w:rPr>
              <w:br/>
            </w:r>
            <w:r>
              <w:rPr>
                <w:rFonts w:ascii="Times New Roman" w:eastAsia="Arial" w:hAnsi="Times New Roman" w:cs="Times New Roman"/>
                <w:sz w:val="16"/>
                <w:szCs w:val="16"/>
              </w:rPr>
              <w:t>Стопански комори</w:t>
            </w:r>
            <w:r>
              <w:rPr>
                <w:rFonts w:ascii="Times New Roman" w:hAnsi="Times New Roman" w:cs="Times New Roman"/>
                <w:sz w:val="16"/>
                <w:szCs w:val="16"/>
              </w:rPr>
              <w:br/>
            </w:r>
            <w:r>
              <w:rPr>
                <w:rFonts w:ascii="Times New Roman" w:eastAsia="Arial" w:hAnsi="Times New Roman" w:cs="Times New Roman"/>
                <w:sz w:val="16"/>
                <w:szCs w:val="16"/>
              </w:rPr>
              <w:t>Омбудсман</w:t>
            </w:r>
          </w:p>
        </w:tc>
        <w:tc>
          <w:tcPr>
            <w:tcW w:w="1152" w:type="dxa"/>
            <w:vAlign w:val="center"/>
          </w:tcPr>
          <w:p w14:paraId="1FDC898B"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Q1 2028</w:t>
            </w:r>
          </w:p>
        </w:tc>
        <w:tc>
          <w:tcPr>
            <w:tcW w:w="1299" w:type="dxa"/>
            <w:vAlign w:val="center"/>
          </w:tcPr>
          <w:p w14:paraId="6A955C1B"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Q3 2028</w:t>
            </w:r>
          </w:p>
        </w:tc>
        <w:tc>
          <w:tcPr>
            <w:tcW w:w="1501" w:type="dxa"/>
            <w:vAlign w:val="center"/>
          </w:tcPr>
          <w:p w14:paraId="7EFB6400" w14:textId="30FF7D5E" w:rsidR="000E5E74" w:rsidRPr="000E5E74" w:rsidRDefault="000E5E74" w:rsidP="000E5E74">
            <w:pPr>
              <w:spacing w:line="216" w:lineRule="auto"/>
              <w:rPr>
                <w:rFonts w:ascii="Times New Roman" w:hAnsi="Times New Roman" w:cs="Times New Roman"/>
                <w:sz w:val="16"/>
                <w:szCs w:val="16"/>
                <w:lang w:val="mk-MK"/>
              </w:rPr>
            </w:pPr>
            <w:r>
              <w:rPr>
                <w:rFonts w:ascii="Times New Roman" w:eastAsia="Arial" w:hAnsi="Times New Roman" w:cs="Times New Roman"/>
                <w:sz w:val="16"/>
                <w:szCs w:val="16"/>
                <w:lang w:val="mk-MK"/>
              </w:rPr>
              <w:t>300.000</w:t>
            </w:r>
          </w:p>
        </w:tc>
        <w:tc>
          <w:tcPr>
            <w:tcW w:w="1699" w:type="dxa"/>
            <w:vAlign w:val="center"/>
          </w:tcPr>
          <w:p w14:paraId="0D385F4C"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Буџет на РСМ</w:t>
            </w:r>
          </w:p>
        </w:tc>
        <w:tc>
          <w:tcPr>
            <w:tcW w:w="3346" w:type="dxa"/>
            <w:vMerge w:val="restart"/>
            <w:tcMar>
              <w:top w:w="35" w:type="dxa"/>
              <w:left w:w="45" w:type="dxa"/>
              <w:bottom w:w="35" w:type="dxa"/>
              <w:right w:w="45" w:type="dxa"/>
            </w:tcMar>
            <w:vAlign w:val="center"/>
          </w:tcPr>
          <w:p w14:paraId="46AC8D7F" w14:textId="77777777" w:rsidR="000E5E74" w:rsidRDefault="000E5E74" w:rsidP="000E5E74">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Показател на резултат: Етички кодекс и механизам за пријавување на прекршоци.</w:t>
            </w:r>
          </w:p>
          <w:p w14:paraId="64BD2564" w14:textId="77777777" w:rsidR="000E5E74" w:rsidRDefault="000E5E74" w:rsidP="000E5E74">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Почетна вредност (2027): Нема кодекс, обуки или механизам.</w:t>
            </w:r>
          </w:p>
          <w:p w14:paraId="47504884" w14:textId="77777777" w:rsidR="000E5E74" w:rsidRDefault="000E5E74" w:rsidP="000E5E74">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 xml:space="preserve">Преодна вредност (2028): Усвоен кодекс, 15 обучени компании и воспоставен механизам. </w:t>
            </w:r>
          </w:p>
          <w:p w14:paraId="6DFACBF6" w14:textId="77777777" w:rsidR="000E5E74" w:rsidRDefault="000E5E74" w:rsidP="000E5E74">
            <w:pPr>
              <w:spacing w:line="216" w:lineRule="auto"/>
              <w:rPr>
                <w:rFonts w:ascii="Times New Roman" w:hAnsi="Times New Roman" w:cs="Times New Roman"/>
                <w:sz w:val="16"/>
                <w:szCs w:val="16"/>
                <w:lang w:val="mk-MK"/>
              </w:rPr>
            </w:pPr>
            <w:r>
              <w:rPr>
                <w:rFonts w:ascii="Times New Roman" w:eastAsia="Arial" w:hAnsi="Times New Roman" w:cs="Times New Roman"/>
                <w:sz w:val="16"/>
                <w:szCs w:val="16"/>
              </w:rPr>
              <w:t>Крајна вредност (2029): Усвоен кодекс, 30 обучени компании и воспоставен механизам.</w:t>
            </w:r>
          </w:p>
        </w:tc>
      </w:tr>
      <w:tr w:rsidR="000E5E74" w14:paraId="7CC49AF1" w14:textId="77777777" w:rsidTr="000E5E74">
        <w:trPr>
          <w:cantSplit/>
          <w:jc w:val="center"/>
        </w:trPr>
        <w:tc>
          <w:tcPr>
            <w:tcW w:w="1901" w:type="dxa"/>
            <w:vMerge/>
            <w:tcMar>
              <w:top w:w="50" w:type="dxa"/>
              <w:left w:w="55" w:type="dxa"/>
              <w:bottom w:w="50" w:type="dxa"/>
              <w:right w:w="55" w:type="dxa"/>
            </w:tcMar>
          </w:tcPr>
          <w:p w14:paraId="5A26DB2A" w14:textId="77777777" w:rsidR="000E5E74" w:rsidRDefault="000E5E74" w:rsidP="000E5E74">
            <w:pPr>
              <w:rPr>
                <w:rFonts w:ascii="Times New Roman" w:hAnsi="Times New Roman" w:cs="Times New Roman"/>
                <w:sz w:val="16"/>
                <w:szCs w:val="16"/>
              </w:rPr>
            </w:pPr>
          </w:p>
        </w:tc>
        <w:tc>
          <w:tcPr>
            <w:tcW w:w="3203" w:type="dxa"/>
            <w:vAlign w:val="center"/>
          </w:tcPr>
          <w:p w14:paraId="1FB2BA51"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А5.3.1.2. Промоција и обука на компании за примена на насоките, со јавно достапни неутрални информативни водичи и примероци за самопроценка на ризик, документација и сообразност. Водичите имаат информативен карактер и не заменуваат правен совет, ниту одлука на надлежен орган.</w:t>
            </w:r>
          </w:p>
        </w:tc>
        <w:tc>
          <w:tcPr>
            <w:tcW w:w="1899" w:type="dxa"/>
            <w:tcMar>
              <w:top w:w="50" w:type="dxa"/>
              <w:left w:w="55" w:type="dxa"/>
              <w:bottom w:w="50" w:type="dxa"/>
              <w:right w:w="55" w:type="dxa"/>
            </w:tcMar>
          </w:tcPr>
          <w:p w14:paraId="26A28A06"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МДТ</w:t>
            </w:r>
            <w:r>
              <w:rPr>
                <w:rFonts w:ascii="Times New Roman" w:hAnsi="Times New Roman" w:cs="Times New Roman"/>
                <w:sz w:val="16"/>
                <w:szCs w:val="16"/>
              </w:rPr>
              <w:br/>
            </w:r>
            <w:r>
              <w:rPr>
                <w:rFonts w:ascii="Times New Roman" w:eastAsia="Arial" w:hAnsi="Times New Roman" w:cs="Times New Roman"/>
                <w:sz w:val="16"/>
                <w:szCs w:val="16"/>
              </w:rPr>
              <w:t>Стопански комори</w:t>
            </w:r>
            <w:r>
              <w:rPr>
                <w:rFonts w:ascii="Times New Roman" w:hAnsi="Times New Roman" w:cs="Times New Roman"/>
                <w:sz w:val="16"/>
                <w:szCs w:val="16"/>
              </w:rPr>
              <w:br/>
            </w:r>
            <w:r>
              <w:rPr>
                <w:rFonts w:ascii="Times New Roman" w:eastAsia="Arial" w:hAnsi="Times New Roman" w:cs="Times New Roman"/>
                <w:sz w:val="16"/>
                <w:szCs w:val="16"/>
              </w:rPr>
              <w:t>Омбудсман</w:t>
            </w:r>
          </w:p>
        </w:tc>
        <w:tc>
          <w:tcPr>
            <w:tcW w:w="1152" w:type="dxa"/>
            <w:tcMar>
              <w:top w:w="50" w:type="dxa"/>
              <w:left w:w="55" w:type="dxa"/>
              <w:bottom w:w="50" w:type="dxa"/>
              <w:right w:w="55" w:type="dxa"/>
            </w:tcMar>
          </w:tcPr>
          <w:p w14:paraId="4495BE6E"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Q1 2028</w:t>
            </w:r>
          </w:p>
        </w:tc>
        <w:tc>
          <w:tcPr>
            <w:tcW w:w="1299" w:type="dxa"/>
            <w:tcMar>
              <w:top w:w="50" w:type="dxa"/>
              <w:left w:w="55" w:type="dxa"/>
              <w:bottom w:w="50" w:type="dxa"/>
              <w:right w:w="55" w:type="dxa"/>
            </w:tcMar>
          </w:tcPr>
          <w:p w14:paraId="3FB748EB"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Q3 2028</w:t>
            </w:r>
          </w:p>
        </w:tc>
        <w:tc>
          <w:tcPr>
            <w:tcW w:w="1501" w:type="dxa"/>
            <w:tcMar>
              <w:top w:w="50" w:type="dxa"/>
              <w:left w:w="55" w:type="dxa"/>
              <w:bottom w:w="50" w:type="dxa"/>
              <w:right w:w="55" w:type="dxa"/>
            </w:tcMar>
          </w:tcPr>
          <w:p w14:paraId="757539BB" w14:textId="256A4EE0" w:rsidR="000E5E74" w:rsidRPr="000E5E74" w:rsidRDefault="000E5E74" w:rsidP="000E5E74">
            <w:pPr>
              <w:spacing w:line="216" w:lineRule="auto"/>
              <w:rPr>
                <w:rFonts w:ascii="Times New Roman" w:hAnsi="Times New Roman" w:cs="Times New Roman"/>
                <w:sz w:val="16"/>
                <w:szCs w:val="16"/>
                <w:lang w:val="mk-MK"/>
              </w:rPr>
            </w:pPr>
            <w:r>
              <w:rPr>
                <w:rFonts w:ascii="Times New Roman" w:eastAsia="Arial" w:hAnsi="Times New Roman" w:cs="Times New Roman"/>
                <w:sz w:val="16"/>
                <w:szCs w:val="16"/>
                <w:lang w:val="mk-MK"/>
              </w:rPr>
              <w:t>300.000</w:t>
            </w:r>
          </w:p>
        </w:tc>
        <w:tc>
          <w:tcPr>
            <w:tcW w:w="1699" w:type="dxa"/>
            <w:tcMar>
              <w:top w:w="50" w:type="dxa"/>
              <w:left w:w="55" w:type="dxa"/>
              <w:bottom w:w="50" w:type="dxa"/>
              <w:right w:w="55" w:type="dxa"/>
            </w:tcMar>
          </w:tcPr>
          <w:p w14:paraId="2D34BD63"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Буџет на РСМ</w:t>
            </w:r>
          </w:p>
        </w:tc>
        <w:tc>
          <w:tcPr>
            <w:tcW w:w="3346" w:type="dxa"/>
            <w:vMerge/>
            <w:tcMar>
              <w:top w:w="50" w:type="dxa"/>
              <w:left w:w="55" w:type="dxa"/>
              <w:bottom w:w="50" w:type="dxa"/>
              <w:right w:w="55" w:type="dxa"/>
            </w:tcMar>
          </w:tcPr>
          <w:p w14:paraId="5B523B95" w14:textId="77777777" w:rsidR="000E5E74" w:rsidRDefault="000E5E74" w:rsidP="000E5E74">
            <w:pPr>
              <w:rPr>
                <w:rFonts w:ascii="Times New Roman" w:hAnsi="Times New Roman" w:cs="Times New Roman"/>
                <w:sz w:val="16"/>
                <w:szCs w:val="16"/>
              </w:rPr>
            </w:pPr>
          </w:p>
        </w:tc>
      </w:tr>
      <w:tr w:rsidR="000E5E74" w14:paraId="0ADB55DC" w14:textId="77777777" w:rsidTr="000E5E74">
        <w:trPr>
          <w:cantSplit/>
          <w:jc w:val="center"/>
        </w:trPr>
        <w:tc>
          <w:tcPr>
            <w:tcW w:w="1901" w:type="dxa"/>
            <w:vMerge/>
            <w:tcMar>
              <w:top w:w="50" w:type="dxa"/>
              <w:left w:w="55" w:type="dxa"/>
              <w:bottom w:w="50" w:type="dxa"/>
              <w:right w:w="55" w:type="dxa"/>
            </w:tcMar>
          </w:tcPr>
          <w:p w14:paraId="1D790B43" w14:textId="77777777" w:rsidR="000E5E74" w:rsidRDefault="000E5E74" w:rsidP="000E5E74">
            <w:pPr>
              <w:rPr>
                <w:rFonts w:ascii="Times New Roman" w:hAnsi="Times New Roman" w:cs="Times New Roman"/>
                <w:sz w:val="16"/>
                <w:szCs w:val="16"/>
              </w:rPr>
            </w:pPr>
          </w:p>
        </w:tc>
        <w:tc>
          <w:tcPr>
            <w:tcW w:w="3203" w:type="dxa"/>
            <w:vAlign w:val="center"/>
          </w:tcPr>
          <w:p w14:paraId="47B1B89F"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А5.3.1.3. Воспоставување на механизам за пријавување на етички прекршоци</w:t>
            </w:r>
          </w:p>
        </w:tc>
        <w:tc>
          <w:tcPr>
            <w:tcW w:w="1899" w:type="dxa"/>
            <w:tcMar>
              <w:top w:w="50" w:type="dxa"/>
              <w:left w:w="55" w:type="dxa"/>
              <w:bottom w:w="50" w:type="dxa"/>
              <w:right w:w="55" w:type="dxa"/>
            </w:tcMar>
          </w:tcPr>
          <w:p w14:paraId="080476D8"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МДТ</w:t>
            </w:r>
            <w:r>
              <w:rPr>
                <w:rFonts w:ascii="Times New Roman" w:hAnsi="Times New Roman" w:cs="Times New Roman"/>
                <w:sz w:val="16"/>
                <w:szCs w:val="16"/>
              </w:rPr>
              <w:br/>
            </w:r>
            <w:r>
              <w:rPr>
                <w:rFonts w:ascii="Times New Roman" w:eastAsia="Arial" w:hAnsi="Times New Roman" w:cs="Times New Roman"/>
                <w:sz w:val="16"/>
                <w:szCs w:val="16"/>
              </w:rPr>
              <w:t>Стопански комори</w:t>
            </w:r>
            <w:r>
              <w:rPr>
                <w:rFonts w:ascii="Times New Roman" w:hAnsi="Times New Roman" w:cs="Times New Roman"/>
                <w:sz w:val="16"/>
                <w:szCs w:val="16"/>
              </w:rPr>
              <w:br/>
            </w:r>
            <w:r>
              <w:rPr>
                <w:rFonts w:ascii="Times New Roman" w:eastAsia="Arial" w:hAnsi="Times New Roman" w:cs="Times New Roman"/>
                <w:sz w:val="16"/>
                <w:szCs w:val="16"/>
              </w:rPr>
              <w:t>Омбудсман</w:t>
            </w:r>
          </w:p>
        </w:tc>
        <w:tc>
          <w:tcPr>
            <w:tcW w:w="1152" w:type="dxa"/>
            <w:tcMar>
              <w:top w:w="50" w:type="dxa"/>
              <w:left w:w="55" w:type="dxa"/>
              <w:bottom w:w="50" w:type="dxa"/>
              <w:right w:w="55" w:type="dxa"/>
            </w:tcMar>
          </w:tcPr>
          <w:p w14:paraId="2E4FF019"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Q1 2028</w:t>
            </w:r>
          </w:p>
        </w:tc>
        <w:tc>
          <w:tcPr>
            <w:tcW w:w="1299" w:type="dxa"/>
            <w:tcMar>
              <w:top w:w="50" w:type="dxa"/>
              <w:left w:w="55" w:type="dxa"/>
              <w:bottom w:w="50" w:type="dxa"/>
              <w:right w:w="55" w:type="dxa"/>
            </w:tcMar>
          </w:tcPr>
          <w:p w14:paraId="4BBAA854"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Q3 2028</w:t>
            </w:r>
          </w:p>
        </w:tc>
        <w:tc>
          <w:tcPr>
            <w:tcW w:w="1501" w:type="dxa"/>
            <w:tcMar>
              <w:top w:w="50" w:type="dxa"/>
              <w:left w:w="55" w:type="dxa"/>
              <w:bottom w:w="50" w:type="dxa"/>
              <w:right w:w="55" w:type="dxa"/>
            </w:tcMar>
          </w:tcPr>
          <w:p w14:paraId="52D86FAA" w14:textId="6BB63A1A" w:rsidR="000E5E74" w:rsidRPr="000E5E74" w:rsidRDefault="000E5E74" w:rsidP="000E5E74">
            <w:pPr>
              <w:spacing w:line="216" w:lineRule="auto"/>
              <w:rPr>
                <w:rFonts w:ascii="Times New Roman" w:hAnsi="Times New Roman" w:cs="Times New Roman"/>
                <w:sz w:val="16"/>
                <w:szCs w:val="16"/>
                <w:lang w:val="mk-MK"/>
              </w:rPr>
            </w:pPr>
            <w:r>
              <w:rPr>
                <w:rFonts w:ascii="Times New Roman" w:eastAsia="Arial" w:hAnsi="Times New Roman" w:cs="Times New Roman"/>
                <w:sz w:val="16"/>
                <w:szCs w:val="16"/>
                <w:lang w:val="mk-MK"/>
              </w:rPr>
              <w:t>0</w:t>
            </w:r>
          </w:p>
        </w:tc>
        <w:tc>
          <w:tcPr>
            <w:tcW w:w="1699" w:type="dxa"/>
            <w:tcMar>
              <w:top w:w="50" w:type="dxa"/>
              <w:left w:w="55" w:type="dxa"/>
              <w:bottom w:w="50" w:type="dxa"/>
              <w:right w:w="55" w:type="dxa"/>
            </w:tcMar>
          </w:tcPr>
          <w:p w14:paraId="54409BBB"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Буџет на РСМ</w:t>
            </w:r>
          </w:p>
        </w:tc>
        <w:tc>
          <w:tcPr>
            <w:tcW w:w="3346" w:type="dxa"/>
            <w:vMerge/>
            <w:tcMar>
              <w:top w:w="50" w:type="dxa"/>
              <w:left w:w="55" w:type="dxa"/>
              <w:bottom w:w="50" w:type="dxa"/>
              <w:right w:w="55" w:type="dxa"/>
            </w:tcMar>
          </w:tcPr>
          <w:p w14:paraId="4DA34001" w14:textId="77777777" w:rsidR="000E5E74" w:rsidRDefault="000E5E74" w:rsidP="000E5E74">
            <w:pPr>
              <w:rPr>
                <w:rFonts w:ascii="Times New Roman" w:hAnsi="Times New Roman" w:cs="Times New Roman"/>
                <w:sz w:val="16"/>
                <w:szCs w:val="16"/>
              </w:rPr>
            </w:pPr>
          </w:p>
        </w:tc>
      </w:tr>
      <w:tr w:rsidR="000E5E74" w14:paraId="2EB2A873" w14:textId="77777777" w:rsidTr="000E5E74">
        <w:trPr>
          <w:cantSplit/>
          <w:jc w:val="center"/>
        </w:trPr>
        <w:tc>
          <w:tcPr>
            <w:tcW w:w="1901" w:type="dxa"/>
            <w:vMerge w:val="restart"/>
            <w:vAlign w:val="center"/>
          </w:tcPr>
          <w:p w14:paraId="1B799731"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b/>
                <w:sz w:val="16"/>
                <w:szCs w:val="16"/>
              </w:rPr>
              <w:t>М5.3.2. Воспоставување на „AI Regulatory Sandbox“</w:t>
            </w:r>
          </w:p>
        </w:tc>
        <w:tc>
          <w:tcPr>
            <w:tcW w:w="3203" w:type="dxa"/>
            <w:vAlign w:val="center"/>
          </w:tcPr>
          <w:p w14:paraId="22A9E41B"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А5.3.2.1. Дефинирање на правила и услови за влез, тестирање и надзор на ВИ решенија во контролирана регулаторна средина, вклучувајќи критериуми за подобност; тест-план со опфат, траење, показатели и мерки за ублажување; заштита на основните права и личните податоци; соодветен човечки надзор и пријавување инциденти; критериуми за прекин и излез; и објавување на агрегирани научени лекции. Учеството во контролираната регулаторна средина не претставува општо ослободување од применливите законски обврски и одговорност, ниту ги заменува условите и дозволите што се потребни за конкретното тестирање.</w:t>
            </w:r>
          </w:p>
        </w:tc>
        <w:tc>
          <w:tcPr>
            <w:tcW w:w="1899" w:type="dxa"/>
            <w:vAlign w:val="center"/>
          </w:tcPr>
          <w:p w14:paraId="6AA0A737" w14:textId="77777777" w:rsidR="000E5E74" w:rsidRDefault="000E5E74" w:rsidP="000E5E74">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МДТ</w:t>
            </w:r>
            <w:r>
              <w:rPr>
                <w:rFonts w:ascii="Times New Roman" w:hAnsi="Times New Roman" w:cs="Times New Roman"/>
                <w:sz w:val="16"/>
                <w:szCs w:val="16"/>
              </w:rPr>
              <w:br/>
            </w:r>
            <w:r>
              <w:rPr>
                <w:rFonts w:ascii="Times New Roman" w:eastAsia="Arial" w:hAnsi="Times New Roman" w:cs="Times New Roman"/>
                <w:sz w:val="16"/>
                <w:szCs w:val="16"/>
              </w:rPr>
              <w:t>ИНОВА</w:t>
            </w:r>
            <w:r>
              <w:rPr>
                <w:rFonts w:ascii="Times New Roman" w:hAnsi="Times New Roman" w:cs="Times New Roman"/>
                <w:sz w:val="16"/>
                <w:szCs w:val="16"/>
              </w:rPr>
              <w:br/>
            </w:r>
            <w:r>
              <w:rPr>
                <w:rFonts w:ascii="Times New Roman" w:eastAsia="Arial" w:hAnsi="Times New Roman" w:cs="Times New Roman"/>
                <w:sz w:val="16"/>
                <w:szCs w:val="16"/>
              </w:rPr>
              <w:t>Регулаторно тело</w:t>
            </w:r>
          </w:p>
          <w:p w14:paraId="303BC6CB"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lang w:val="mk-MK"/>
              </w:rPr>
              <w:t>АЗЛП</w:t>
            </w:r>
          </w:p>
        </w:tc>
        <w:tc>
          <w:tcPr>
            <w:tcW w:w="1152" w:type="dxa"/>
            <w:vAlign w:val="center"/>
          </w:tcPr>
          <w:p w14:paraId="00461D1C"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Q3 2028</w:t>
            </w:r>
          </w:p>
        </w:tc>
        <w:tc>
          <w:tcPr>
            <w:tcW w:w="1299" w:type="dxa"/>
            <w:vAlign w:val="center"/>
          </w:tcPr>
          <w:p w14:paraId="1CD779F7"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Q4 2029</w:t>
            </w:r>
          </w:p>
        </w:tc>
        <w:tc>
          <w:tcPr>
            <w:tcW w:w="1501" w:type="dxa"/>
            <w:vAlign w:val="center"/>
          </w:tcPr>
          <w:p w14:paraId="116EB474" w14:textId="197685D4"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lang w:val="mk-MK"/>
              </w:rPr>
              <w:t>300.000</w:t>
            </w:r>
          </w:p>
        </w:tc>
        <w:tc>
          <w:tcPr>
            <w:tcW w:w="1699" w:type="dxa"/>
            <w:vAlign w:val="center"/>
          </w:tcPr>
          <w:p w14:paraId="5F0D7F16"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ИПА III</w:t>
            </w:r>
            <w:r>
              <w:rPr>
                <w:rFonts w:ascii="Times New Roman" w:hAnsi="Times New Roman" w:cs="Times New Roman"/>
                <w:sz w:val="16"/>
                <w:szCs w:val="16"/>
              </w:rPr>
              <w:br/>
            </w:r>
            <w:r>
              <w:rPr>
                <w:rFonts w:ascii="Times New Roman" w:eastAsia="Arial" w:hAnsi="Times New Roman" w:cs="Times New Roman"/>
                <w:sz w:val="16"/>
                <w:szCs w:val="16"/>
              </w:rPr>
              <w:t>Буџет на РСМ</w:t>
            </w:r>
          </w:p>
        </w:tc>
        <w:tc>
          <w:tcPr>
            <w:tcW w:w="3346" w:type="dxa"/>
            <w:vMerge w:val="restart"/>
            <w:tcMar>
              <w:top w:w="35" w:type="dxa"/>
              <w:left w:w="45" w:type="dxa"/>
              <w:bottom w:w="35" w:type="dxa"/>
              <w:right w:w="45" w:type="dxa"/>
            </w:tcMar>
            <w:vAlign w:val="center"/>
          </w:tcPr>
          <w:p w14:paraId="23D14AA2" w14:textId="77777777" w:rsidR="000E5E74" w:rsidRDefault="000E5E74" w:rsidP="000E5E74">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Показател на резултат: Функционален AI Regulatory Sandbox.</w:t>
            </w:r>
          </w:p>
          <w:p w14:paraId="2F28E1F3" w14:textId="77777777" w:rsidR="000E5E74" w:rsidRDefault="000E5E74" w:rsidP="000E5E74">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Почетна вредност (2027): Нема правила или учесници.</w:t>
            </w:r>
          </w:p>
          <w:p w14:paraId="4E70EA7D" w14:textId="77777777" w:rsidR="000E5E74" w:rsidRDefault="000E5E74" w:rsidP="000E5E74">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 xml:space="preserve">Преодна вредност (2028): Усвоени правила и најмалку 2 учесници. </w:t>
            </w:r>
          </w:p>
          <w:p w14:paraId="5CE094A0" w14:textId="77777777" w:rsidR="000E5E74" w:rsidRDefault="000E5E74" w:rsidP="000E5E74">
            <w:pPr>
              <w:spacing w:line="216" w:lineRule="auto"/>
              <w:rPr>
                <w:rFonts w:ascii="Times New Roman" w:hAnsi="Times New Roman" w:cs="Times New Roman"/>
                <w:sz w:val="16"/>
                <w:szCs w:val="16"/>
                <w:lang w:val="mk-MK"/>
              </w:rPr>
            </w:pPr>
            <w:r>
              <w:rPr>
                <w:rFonts w:ascii="Times New Roman" w:eastAsia="Arial" w:hAnsi="Times New Roman" w:cs="Times New Roman"/>
                <w:sz w:val="16"/>
                <w:szCs w:val="16"/>
              </w:rPr>
              <w:t>Крајна вредност (2029): Усвоени правила и најмалку 5 учесници.</w:t>
            </w:r>
          </w:p>
        </w:tc>
      </w:tr>
      <w:tr w:rsidR="000E5E74" w14:paraId="4E817A55" w14:textId="77777777" w:rsidTr="000E5E74">
        <w:trPr>
          <w:cantSplit/>
          <w:jc w:val="center"/>
        </w:trPr>
        <w:tc>
          <w:tcPr>
            <w:tcW w:w="1901" w:type="dxa"/>
            <w:vMerge/>
            <w:tcMar>
              <w:top w:w="50" w:type="dxa"/>
              <w:left w:w="55" w:type="dxa"/>
              <w:bottom w:w="50" w:type="dxa"/>
              <w:right w:w="55" w:type="dxa"/>
            </w:tcMar>
          </w:tcPr>
          <w:p w14:paraId="16F513F4" w14:textId="77777777" w:rsidR="000E5E74" w:rsidRDefault="000E5E74" w:rsidP="000E5E74">
            <w:pPr>
              <w:rPr>
                <w:rFonts w:ascii="Times New Roman" w:hAnsi="Times New Roman" w:cs="Times New Roman"/>
                <w:sz w:val="16"/>
                <w:szCs w:val="16"/>
              </w:rPr>
            </w:pPr>
          </w:p>
        </w:tc>
        <w:tc>
          <w:tcPr>
            <w:tcW w:w="3203" w:type="dxa"/>
            <w:vAlign w:val="center"/>
          </w:tcPr>
          <w:p w14:paraId="530B38C1"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А5.3.2.2. Лансирање на првиот повик за учесници</w:t>
            </w:r>
          </w:p>
        </w:tc>
        <w:tc>
          <w:tcPr>
            <w:tcW w:w="1899" w:type="dxa"/>
            <w:tcMar>
              <w:top w:w="50" w:type="dxa"/>
              <w:left w:w="55" w:type="dxa"/>
              <w:bottom w:w="50" w:type="dxa"/>
              <w:right w:w="55" w:type="dxa"/>
            </w:tcMar>
          </w:tcPr>
          <w:p w14:paraId="708D1808"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МДТ</w:t>
            </w:r>
            <w:r>
              <w:rPr>
                <w:rFonts w:ascii="Times New Roman" w:hAnsi="Times New Roman" w:cs="Times New Roman"/>
                <w:sz w:val="16"/>
                <w:szCs w:val="16"/>
              </w:rPr>
              <w:br/>
            </w:r>
            <w:r>
              <w:rPr>
                <w:rFonts w:ascii="Times New Roman" w:eastAsia="Arial" w:hAnsi="Times New Roman" w:cs="Times New Roman"/>
                <w:sz w:val="16"/>
                <w:szCs w:val="16"/>
              </w:rPr>
              <w:t>ИНОВА</w:t>
            </w:r>
            <w:r>
              <w:rPr>
                <w:rFonts w:ascii="Times New Roman" w:hAnsi="Times New Roman" w:cs="Times New Roman"/>
                <w:sz w:val="16"/>
                <w:szCs w:val="16"/>
              </w:rPr>
              <w:br/>
            </w:r>
            <w:r>
              <w:rPr>
                <w:rFonts w:ascii="Times New Roman" w:eastAsia="Arial" w:hAnsi="Times New Roman" w:cs="Times New Roman"/>
                <w:sz w:val="16"/>
                <w:szCs w:val="16"/>
              </w:rPr>
              <w:t>Регулаторно тело</w:t>
            </w:r>
          </w:p>
        </w:tc>
        <w:tc>
          <w:tcPr>
            <w:tcW w:w="1152" w:type="dxa"/>
            <w:tcMar>
              <w:top w:w="50" w:type="dxa"/>
              <w:left w:w="55" w:type="dxa"/>
              <w:bottom w:w="50" w:type="dxa"/>
              <w:right w:w="55" w:type="dxa"/>
            </w:tcMar>
          </w:tcPr>
          <w:p w14:paraId="6FDFD587"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Q3 2028</w:t>
            </w:r>
          </w:p>
        </w:tc>
        <w:tc>
          <w:tcPr>
            <w:tcW w:w="1299" w:type="dxa"/>
            <w:tcMar>
              <w:top w:w="50" w:type="dxa"/>
              <w:left w:w="55" w:type="dxa"/>
              <w:bottom w:w="50" w:type="dxa"/>
              <w:right w:w="55" w:type="dxa"/>
            </w:tcMar>
          </w:tcPr>
          <w:p w14:paraId="790F8829"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Q4 2029</w:t>
            </w:r>
          </w:p>
        </w:tc>
        <w:tc>
          <w:tcPr>
            <w:tcW w:w="1501" w:type="dxa"/>
            <w:tcMar>
              <w:top w:w="50" w:type="dxa"/>
              <w:left w:w="55" w:type="dxa"/>
              <w:bottom w:w="50" w:type="dxa"/>
              <w:right w:w="55" w:type="dxa"/>
            </w:tcMar>
          </w:tcPr>
          <w:p w14:paraId="63E7914A" w14:textId="31DFD130" w:rsidR="000E5E74" w:rsidRPr="000E5E74" w:rsidRDefault="000E5E74" w:rsidP="000E5E74">
            <w:pPr>
              <w:spacing w:line="216" w:lineRule="auto"/>
              <w:rPr>
                <w:rFonts w:ascii="Times New Roman" w:hAnsi="Times New Roman" w:cs="Times New Roman"/>
                <w:sz w:val="16"/>
                <w:szCs w:val="16"/>
                <w:lang w:val="mk-MK"/>
              </w:rPr>
            </w:pPr>
            <w:r>
              <w:rPr>
                <w:rFonts w:ascii="Times New Roman" w:eastAsia="Arial" w:hAnsi="Times New Roman" w:cs="Times New Roman"/>
                <w:sz w:val="16"/>
                <w:szCs w:val="16"/>
                <w:lang w:val="mk-MK"/>
              </w:rPr>
              <w:t>4.000.000</w:t>
            </w:r>
          </w:p>
        </w:tc>
        <w:tc>
          <w:tcPr>
            <w:tcW w:w="1699" w:type="dxa"/>
            <w:tcMar>
              <w:top w:w="50" w:type="dxa"/>
              <w:left w:w="55" w:type="dxa"/>
              <w:bottom w:w="50" w:type="dxa"/>
              <w:right w:w="55" w:type="dxa"/>
            </w:tcMar>
          </w:tcPr>
          <w:p w14:paraId="45BDC296"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ИПА III</w:t>
            </w:r>
            <w:r>
              <w:rPr>
                <w:rFonts w:ascii="Times New Roman" w:hAnsi="Times New Roman" w:cs="Times New Roman"/>
                <w:sz w:val="16"/>
                <w:szCs w:val="16"/>
              </w:rPr>
              <w:br/>
            </w:r>
            <w:r>
              <w:rPr>
                <w:rFonts w:ascii="Times New Roman" w:eastAsia="Arial" w:hAnsi="Times New Roman" w:cs="Times New Roman"/>
                <w:sz w:val="16"/>
                <w:szCs w:val="16"/>
              </w:rPr>
              <w:t>Буџет на РСМ</w:t>
            </w:r>
          </w:p>
        </w:tc>
        <w:tc>
          <w:tcPr>
            <w:tcW w:w="3346" w:type="dxa"/>
            <w:vMerge/>
            <w:tcMar>
              <w:top w:w="50" w:type="dxa"/>
              <w:left w:w="55" w:type="dxa"/>
              <w:bottom w:w="50" w:type="dxa"/>
              <w:right w:w="55" w:type="dxa"/>
            </w:tcMar>
          </w:tcPr>
          <w:p w14:paraId="1BDED441" w14:textId="77777777" w:rsidR="000E5E74" w:rsidRDefault="000E5E74" w:rsidP="000E5E74">
            <w:pPr>
              <w:rPr>
                <w:rFonts w:ascii="Times New Roman" w:hAnsi="Times New Roman" w:cs="Times New Roman"/>
                <w:sz w:val="16"/>
                <w:szCs w:val="16"/>
              </w:rPr>
            </w:pPr>
          </w:p>
        </w:tc>
      </w:tr>
      <w:tr w:rsidR="000E5E74" w14:paraId="1D5FA8AC" w14:textId="77777777" w:rsidTr="000E5E74">
        <w:trPr>
          <w:cantSplit/>
          <w:jc w:val="center"/>
        </w:trPr>
        <w:tc>
          <w:tcPr>
            <w:tcW w:w="1901" w:type="dxa"/>
            <w:vMerge/>
            <w:tcMar>
              <w:top w:w="50" w:type="dxa"/>
              <w:left w:w="55" w:type="dxa"/>
              <w:bottom w:w="50" w:type="dxa"/>
              <w:right w:w="55" w:type="dxa"/>
            </w:tcMar>
          </w:tcPr>
          <w:p w14:paraId="583EFBF9" w14:textId="77777777" w:rsidR="000E5E74" w:rsidRDefault="000E5E74" w:rsidP="000E5E74">
            <w:pPr>
              <w:rPr>
                <w:rFonts w:ascii="Times New Roman" w:hAnsi="Times New Roman" w:cs="Times New Roman"/>
                <w:sz w:val="16"/>
                <w:szCs w:val="16"/>
              </w:rPr>
            </w:pPr>
          </w:p>
        </w:tc>
        <w:tc>
          <w:tcPr>
            <w:tcW w:w="3203" w:type="dxa"/>
            <w:vAlign w:val="center"/>
          </w:tcPr>
          <w:p w14:paraId="03556B48"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А5.3.2.3. Евалуација и извлекување на поуки за регулативата</w:t>
            </w:r>
          </w:p>
        </w:tc>
        <w:tc>
          <w:tcPr>
            <w:tcW w:w="1899" w:type="dxa"/>
            <w:tcMar>
              <w:top w:w="50" w:type="dxa"/>
              <w:left w:w="55" w:type="dxa"/>
              <w:bottom w:w="50" w:type="dxa"/>
              <w:right w:w="55" w:type="dxa"/>
            </w:tcMar>
          </w:tcPr>
          <w:p w14:paraId="7F016B3D"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МДТ</w:t>
            </w:r>
            <w:r>
              <w:rPr>
                <w:rFonts w:ascii="Times New Roman" w:hAnsi="Times New Roman" w:cs="Times New Roman"/>
                <w:sz w:val="16"/>
                <w:szCs w:val="16"/>
              </w:rPr>
              <w:br/>
            </w:r>
            <w:r>
              <w:rPr>
                <w:rFonts w:ascii="Times New Roman" w:eastAsia="Arial" w:hAnsi="Times New Roman" w:cs="Times New Roman"/>
                <w:sz w:val="16"/>
                <w:szCs w:val="16"/>
              </w:rPr>
              <w:t>ИНОВА</w:t>
            </w:r>
            <w:r>
              <w:rPr>
                <w:rFonts w:ascii="Times New Roman" w:hAnsi="Times New Roman" w:cs="Times New Roman"/>
                <w:sz w:val="16"/>
                <w:szCs w:val="16"/>
              </w:rPr>
              <w:br/>
            </w:r>
            <w:r>
              <w:rPr>
                <w:rFonts w:ascii="Times New Roman" w:eastAsia="Arial" w:hAnsi="Times New Roman" w:cs="Times New Roman"/>
                <w:sz w:val="16"/>
                <w:szCs w:val="16"/>
              </w:rPr>
              <w:t>Регулаторно тело</w:t>
            </w:r>
          </w:p>
        </w:tc>
        <w:tc>
          <w:tcPr>
            <w:tcW w:w="1152" w:type="dxa"/>
            <w:tcMar>
              <w:top w:w="50" w:type="dxa"/>
              <w:left w:w="55" w:type="dxa"/>
              <w:bottom w:w="50" w:type="dxa"/>
              <w:right w:w="55" w:type="dxa"/>
            </w:tcMar>
          </w:tcPr>
          <w:p w14:paraId="747C0B4E"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Q3 2028</w:t>
            </w:r>
          </w:p>
        </w:tc>
        <w:tc>
          <w:tcPr>
            <w:tcW w:w="1299" w:type="dxa"/>
            <w:tcMar>
              <w:top w:w="50" w:type="dxa"/>
              <w:left w:w="55" w:type="dxa"/>
              <w:bottom w:w="50" w:type="dxa"/>
              <w:right w:w="55" w:type="dxa"/>
            </w:tcMar>
          </w:tcPr>
          <w:p w14:paraId="55CAA1C0"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Q4 2029</w:t>
            </w:r>
          </w:p>
        </w:tc>
        <w:tc>
          <w:tcPr>
            <w:tcW w:w="1501" w:type="dxa"/>
            <w:tcMar>
              <w:top w:w="50" w:type="dxa"/>
              <w:left w:w="55" w:type="dxa"/>
              <w:bottom w:w="50" w:type="dxa"/>
              <w:right w:w="55" w:type="dxa"/>
            </w:tcMar>
          </w:tcPr>
          <w:p w14:paraId="59AC2AAD" w14:textId="3C34AB53"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lang w:val="mk-MK"/>
              </w:rPr>
              <w:t>4.000.000</w:t>
            </w:r>
          </w:p>
        </w:tc>
        <w:tc>
          <w:tcPr>
            <w:tcW w:w="1699" w:type="dxa"/>
            <w:tcMar>
              <w:top w:w="50" w:type="dxa"/>
              <w:left w:w="55" w:type="dxa"/>
              <w:bottom w:w="50" w:type="dxa"/>
              <w:right w:w="55" w:type="dxa"/>
            </w:tcMar>
          </w:tcPr>
          <w:p w14:paraId="3CEE0637"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ИПА III</w:t>
            </w:r>
            <w:r>
              <w:rPr>
                <w:rFonts w:ascii="Times New Roman" w:hAnsi="Times New Roman" w:cs="Times New Roman"/>
                <w:sz w:val="16"/>
                <w:szCs w:val="16"/>
              </w:rPr>
              <w:br/>
            </w:r>
            <w:r>
              <w:rPr>
                <w:rFonts w:ascii="Times New Roman" w:eastAsia="Arial" w:hAnsi="Times New Roman" w:cs="Times New Roman"/>
                <w:sz w:val="16"/>
                <w:szCs w:val="16"/>
              </w:rPr>
              <w:t>Буџет на РСМ</w:t>
            </w:r>
          </w:p>
        </w:tc>
        <w:tc>
          <w:tcPr>
            <w:tcW w:w="3346" w:type="dxa"/>
            <w:vMerge/>
            <w:tcMar>
              <w:top w:w="50" w:type="dxa"/>
              <w:left w:w="55" w:type="dxa"/>
              <w:bottom w:w="50" w:type="dxa"/>
              <w:right w:w="55" w:type="dxa"/>
            </w:tcMar>
          </w:tcPr>
          <w:p w14:paraId="12713DE1" w14:textId="77777777" w:rsidR="000E5E74" w:rsidRDefault="000E5E74" w:rsidP="000E5E74">
            <w:pPr>
              <w:rPr>
                <w:rFonts w:ascii="Times New Roman" w:hAnsi="Times New Roman" w:cs="Times New Roman"/>
                <w:sz w:val="16"/>
                <w:szCs w:val="16"/>
              </w:rPr>
            </w:pPr>
          </w:p>
        </w:tc>
      </w:tr>
      <w:tr w:rsidR="000E5E74" w14:paraId="214F3AFA" w14:textId="77777777" w:rsidTr="000E5E74">
        <w:trPr>
          <w:cantSplit/>
          <w:jc w:val="center"/>
        </w:trPr>
        <w:tc>
          <w:tcPr>
            <w:tcW w:w="1901" w:type="dxa"/>
            <w:vMerge w:val="restart"/>
            <w:vAlign w:val="center"/>
          </w:tcPr>
          <w:p w14:paraId="79D69058"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b/>
                <w:sz w:val="16"/>
                <w:szCs w:val="16"/>
              </w:rPr>
              <w:t>М5.3.3. Пристапување кон меѓународни ВИ иницијативи</w:t>
            </w:r>
          </w:p>
        </w:tc>
        <w:tc>
          <w:tcPr>
            <w:tcW w:w="3203" w:type="dxa"/>
            <w:vAlign w:val="center"/>
          </w:tcPr>
          <w:p w14:paraId="376C7336"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А5.3.3.1. Подготовка на апликација за членство во GPAI (Global Partnership on AI)</w:t>
            </w:r>
          </w:p>
        </w:tc>
        <w:tc>
          <w:tcPr>
            <w:tcW w:w="1899" w:type="dxa"/>
            <w:vAlign w:val="center"/>
          </w:tcPr>
          <w:p w14:paraId="568CA007"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МНРНТ</w:t>
            </w:r>
            <w:r>
              <w:rPr>
                <w:rFonts w:ascii="Times New Roman" w:hAnsi="Times New Roman" w:cs="Times New Roman"/>
                <w:sz w:val="16"/>
                <w:szCs w:val="16"/>
              </w:rPr>
              <w:br/>
            </w:r>
            <w:r>
              <w:rPr>
                <w:rFonts w:ascii="Times New Roman" w:eastAsia="Arial" w:hAnsi="Times New Roman" w:cs="Times New Roman"/>
                <w:sz w:val="16"/>
                <w:szCs w:val="16"/>
              </w:rPr>
              <w:t>МДТ</w:t>
            </w:r>
          </w:p>
        </w:tc>
        <w:tc>
          <w:tcPr>
            <w:tcW w:w="1152" w:type="dxa"/>
            <w:vAlign w:val="center"/>
          </w:tcPr>
          <w:p w14:paraId="6BE41C55"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Q1 2028</w:t>
            </w:r>
          </w:p>
        </w:tc>
        <w:tc>
          <w:tcPr>
            <w:tcW w:w="1299" w:type="dxa"/>
            <w:vAlign w:val="center"/>
          </w:tcPr>
          <w:p w14:paraId="291FE962"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Q4 2029</w:t>
            </w:r>
          </w:p>
        </w:tc>
        <w:tc>
          <w:tcPr>
            <w:tcW w:w="1501" w:type="dxa"/>
            <w:vAlign w:val="center"/>
          </w:tcPr>
          <w:p w14:paraId="48491BDC" w14:textId="6E846474" w:rsidR="000E5E74" w:rsidRPr="000E5E74" w:rsidRDefault="000E5E74" w:rsidP="000E5E74">
            <w:pPr>
              <w:spacing w:line="216" w:lineRule="auto"/>
              <w:rPr>
                <w:rFonts w:ascii="Times New Roman" w:hAnsi="Times New Roman" w:cs="Times New Roman"/>
                <w:sz w:val="16"/>
                <w:szCs w:val="16"/>
                <w:lang w:val="mk-MK"/>
              </w:rPr>
            </w:pPr>
            <w:r>
              <w:rPr>
                <w:rFonts w:ascii="Times New Roman" w:eastAsia="Arial" w:hAnsi="Times New Roman" w:cs="Times New Roman"/>
                <w:sz w:val="16"/>
                <w:szCs w:val="16"/>
                <w:lang w:val="mk-MK"/>
              </w:rPr>
              <w:t>0</w:t>
            </w:r>
          </w:p>
        </w:tc>
        <w:tc>
          <w:tcPr>
            <w:tcW w:w="1699" w:type="dxa"/>
            <w:vAlign w:val="center"/>
          </w:tcPr>
          <w:p w14:paraId="37BE96CC"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Буџет на РСМ</w:t>
            </w:r>
          </w:p>
        </w:tc>
        <w:tc>
          <w:tcPr>
            <w:tcW w:w="3346" w:type="dxa"/>
            <w:vMerge w:val="restart"/>
            <w:tcMar>
              <w:top w:w="35" w:type="dxa"/>
              <w:left w:w="45" w:type="dxa"/>
              <w:bottom w:w="35" w:type="dxa"/>
              <w:right w:w="45" w:type="dxa"/>
            </w:tcMar>
            <w:vAlign w:val="center"/>
          </w:tcPr>
          <w:p w14:paraId="25ABDBB7" w14:textId="77777777" w:rsidR="000E5E74" w:rsidRDefault="000E5E74" w:rsidP="000E5E74">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Показател на резултат: Активно меѓународно позиционирање за ВИ.</w:t>
            </w:r>
          </w:p>
          <w:p w14:paraId="4D18B985" w14:textId="77777777" w:rsidR="000E5E74" w:rsidRDefault="000E5E74" w:rsidP="000E5E74">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Почетна вредност (2027): Нема GPAI апликација, договори или учества во целни форуми.</w:t>
            </w:r>
          </w:p>
          <w:p w14:paraId="48920C71" w14:textId="77777777" w:rsidR="000E5E74" w:rsidRDefault="000E5E74" w:rsidP="000E5E74">
            <w:pPr>
              <w:spacing w:line="216" w:lineRule="auto"/>
              <w:rPr>
                <w:rFonts w:ascii="Times New Roman" w:eastAsia="Arial" w:hAnsi="Times New Roman" w:cs="Times New Roman"/>
                <w:sz w:val="16"/>
                <w:szCs w:val="16"/>
                <w:lang w:val="mk-MK"/>
              </w:rPr>
            </w:pPr>
            <w:r>
              <w:rPr>
                <w:rFonts w:ascii="Times New Roman" w:eastAsia="Arial" w:hAnsi="Times New Roman" w:cs="Times New Roman"/>
                <w:sz w:val="16"/>
                <w:szCs w:val="16"/>
              </w:rPr>
              <w:t xml:space="preserve">Преодна вредност (2028): Поднесена GPAI апликација, 2 договори и 2 учества. </w:t>
            </w:r>
          </w:p>
          <w:p w14:paraId="25F41ED3" w14:textId="77777777" w:rsidR="000E5E74" w:rsidRDefault="000E5E74" w:rsidP="000E5E74">
            <w:pPr>
              <w:spacing w:line="216" w:lineRule="auto"/>
              <w:rPr>
                <w:rFonts w:ascii="Times New Roman" w:hAnsi="Times New Roman" w:cs="Times New Roman"/>
                <w:sz w:val="16"/>
                <w:szCs w:val="16"/>
                <w:lang w:val="mk-MK"/>
              </w:rPr>
            </w:pPr>
            <w:r>
              <w:rPr>
                <w:rFonts w:ascii="Times New Roman" w:eastAsia="Arial" w:hAnsi="Times New Roman" w:cs="Times New Roman"/>
                <w:sz w:val="16"/>
                <w:szCs w:val="16"/>
              </w:rPr>
              <w:t>Крајна вредност (2029): Поднесена GPAI апликација, 3 договори и 5 учества.</w:t>
            </w:r>
          </w:p>
        </w:tc>
      </w:tr>
      <w:tr w:rsidR="000E5E74" w14:paraId="24006F03" w14:textId="77777777" w:rsidTr="000E5E74">
        <w:trPr>
          <w:cantSplit/>
          <w:jc w:val="center"/>
        </w:trPr>
        <w:tc>
          <w:tcPr>
            <w:tcW w:w="1901" w:type="dxa"/>
            <w:vMerge/>
            <w:tcMar>
              <w:top w:w="50" w:type="dxa"/>
              <w:left w:w="55" w:type="dxa"/>
              <w:bottom w:w="50" w:type="dxa"/>
              <w:right w:w="55" w:type="dxa"/>
            </w:tcMar>
          </w:tcPr>
          <w:p w14:paraId="779656BE" w14:textId="77777777" w:rsidR="000E5E74" w:rsidRDefault="000E5E74" w:rsidP="000E5E74">
            <w:pPr>
              <w:rPr>
                <w:rFonts w:ascii="Times New Roman" w:hAnsi="Times New Roman" w:cs="Times New Roman"/>
              </w:rPr>
            </w:pPr>
          </w:p>
        </w:tc>
        <w:tc>
          <w:tcPr>
            <w:tcW w:w="3203" w:type="dxa"/>
            <w:vAlign w:val="center"/>
          </w:tcPr>
          <w:p w14:paraId="5D8AB3A1" w14:textId="77777777" w:rsidR="000E5E74" w:rsidRDefault="000E5E74" w:rsidP="000E5E74">
            <w:pPr>
              <w:spacing w:line="216" w:lineRule="auto"/>
              <w:rPr>
                <w:rFonts w:ascii="Times New Roman" w:hAnsi="Times New Roman" w:cs="Times New Roman"/>
              </w:rPr>
            </w:pPr>
            <w:r>
              <w:rPr>
                <w:rFonts w:ascii="Times New Roman" w:eastAsia="Arial" w:hAnsi="Times New Roman" w:cs="Times New Roman"/>
                <w:sz w:val="16"/>
                <w:szCs w:val="16"/>
              </w:rPr>
              <w:t>А5.3.3.2. Активно учество во OECD AI Policy Observatory</w:t>
            </w:r>
          </w:p>
        </w:tc>
        <w:tc>
          <w:tcPr>
            <w:tcW w:w="1899" w:type="dxa"/>
            <w:tcMar>
              <w:top w:w="50" w:type="dxa"/>
              <w:left w:w="55" w:type="dxa"/>
              <w:bottom w:w="50" w:type="dxa"/>
              <w:right w:w="55" w:type="dxa"/>
            </w:tcMar>
          </w:tcPr>
          <w:p w14:paraId="2D1A0407"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МНРНТ</w:t>
            </w:r>
            <w:r>
              <w:rPr>
                <w:rFonts w:ascii="Times New Roman" w:hAnsi="Times New Roman" w:cs="Times New Roman"/>
                <w:sz w:val="16"/>
                <w:szCs w:val="16"/>
              </w:rPr>
              <w:br/>
            </w:r>
            <w:r>
              <w:rPr>
                <w:rFonts w:ascii="Times New Roman" w:eastAsia="Arial" w:hAnsi="Times New Roman" w:cs="Times New Roman"/>
                <w:sz w:val="16"/>
                <w:szCs w:val="16"/>
              </w:rPr>
              <w:t>МДТ</w:t>
            </w:r>
          </w:p>
        </w:tc>
        <w:tc>
          <w:tcPr>
            <w:tcW w:w="1152" w:type="dxa"/>
            <w:tcMar>
              <w:top w:w="50" w:type="dxa"/>
              <w:left w:w="55" w:type="dxa"/>
              <w:bottom w:w="50" w:type="dxa"/>
              <w:right w:w="55" w:type="dxa"/>
            </w:tcMar>
          </w:tcPr>
          <w:p w14:paraId="5A194088"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Q1 2028</w:t>
            </w:r>
          </w:p>
        </w:tc>
        <w:tc>
          <w:tcPr>
            <w:tcW w:w="1299" w:type="dxa"/>
            <w:tcMar>
              <w:top w:w="50" w:type="dxa"/>
              <w:left w:w="55" w:type="dxa"/>
              <w:bottom w:w="50" w:type="dxa"/>
              <w:right w:w="55" w:type="dxa"/>
            </w:tcMar>
          </w:tcPr>
          <w:p w14:paraId="15CD7FE5"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Q4 2029</w:t>
            </w:r>
          </w:p>
        </w:tc>
        <w:tc>
          <w:tcPr>
            <w:tcW w:w="1501" w:type="dxa"/>
            <w:tcMar>
              <w:top w:w="50" w:type="dxa"/>
              <w:left w:w="55" w:type="dxa"/>
              <w:bottom w:w="50" w:type="dxa"/>
              <w:right w:w="55" w:type="dxa"/>
            </w:tcMar>
          </w:tcPr>
          <w:p w14:paraId="07B0298B" w14:textId="17847EFF"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lang w:val="mk-MK"/>
              </w:rPr>
              <w:t>4.000.000</w:t>
            </w:r>
          </w:p>
        </w:tc>
        <w:tc>
          <w:tcPr>
            <w:tcW w:w="1699" w:type="dxa"/>
            <w:tcMar>
              <w:top w:w="50" w:type="dxa"/>
              <w:left w:w="55" w:type="dxa"/>
              <w:bottom w:w="50" w:type="dxa"/>
              <w:right w:w="55" w:type="dxa"/>
            </w:tcMar>
          </w:tcPr>
          <w:p w14:paraId="0C367990"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Буџет на РСМ</w:t>
            </w:r>
          </w:p>
        </w:tc>
        <w:tc>
          <w:tcPr>
            <w:tcW w:w="3346" w:type="dxa"/>
            <w:vMerge/>
            <w:tcMar>
              <w:top w:w="50" w:type="dxa"/>
              <w:left w:w="55" w:type="dxa"/>
              <w:bottom w:w="50" w:type="dxa"/>
              <w:right w:w="55" w:type="dxa"/>
            </w:tcMar>
          </w:tcPr>
          <w:p w14:paraId="20E24868" w14:textId="77777777" w:rsidR="000E5E74" w:rsidRDefault="000E5E74" w:rsidP="000E5E74">
            <w:pPr>
              <w:rPr>
                <w:rFonts w:ascii="Times New Roman" w:hAnsi="Times New Roman" w:cs="Times New Roman"/>
              </w:rPr>
            </w:pPr>
          </w:p>
        </w:tc>
      </w:tr>
      <w:tr w:rsidR="000E5E74" w14:paraId="59C9B302" w14:textId="77777777" w:rsidTr="000E5E74">
        <w:trPr>
          <w:cantSplit/>
          <w:jc w:val="center"/>
        </w:trPr>
        <w:tc>
          <w:tcPr>
            <w:tcW w:w="1901" w:type="dxa"/>
            <w:vMerge/>
            <w:tcMar>
              <w:top w:w="50" w:type="dxa"/>
              <w:left w:w="55" w:type="dxa"/>
              <w:bottom w:w="50" w:type="dxa"/>
              <w:right w:w="55" w:type="dxa"/>
            </w:tcMar>
          </w:tcPr>
          <w:p w14:paraId="3FAF8687" w14:textId="77777777" w:rsidR="000E5E74" w:rsidRDefault="000E5E74" w:rsidP="000E5E74">
            <w:pPr>
              <w:rPr>
                <w:rFonts w:ascii="Times New Roman" w:hAnsi="Times New Roman" w:cs="Times New Roman"/>
              </w:rPr>
            </w:pPr>
          </w:p>
        </w:tc>
        <w:tc>
          <w:tcPr>
            <w:tcW w:w="3203" w:type="dxa"/>
            <w:vAlign w:val="center"/>
          </w:tcPr>
          <w:p w14:paraId="4BC8CAF9" w14:textId="77777777" w:rsidR="000E5E74" w:rsidRDefault="000E5E74" w:rsidP="000E5E74">
            <w:pPr>
              <w:spacing w:line="216" w:lineRule="auto"/>
              <w:rPr>
                <w:rFonts w:ascii="Times New Roman" w:hAnsi="Times New Roman" w:cs="Times New Roman"/>
              </w:rPr>
            </w:pPr>
            <w:r>
              <w:rPr>
                <w:rFonts w:ascii="Times New Roman" w:eastAsia="Arial" w:hAnsi="Times New Roman" w:cs="Times New Roman"/>
                <w:sz w:val="16"/>
                <w:szCs w:val="16"/>
              </w:rPr>
              <w:t>А5.3.3.3. Билатерална соработка со земји-лидери (Естонија, Финска, Сингапур)</w:t>
            </w:r>
          </w:p>
        </w:tc>
        <w:tc>
          <w:tcPr>
            <w:tcW w:w="1899" w:type="dxa"/>
            <w:tcMar>
              <w:top w:w="50" w:type="dxa"/>
              <w:left w:w="55" w:type="dxa"/>
              <w:bottom w:w="50" w:type="dxa"/>
              <w:right w:w="55" w:type="dxa"/>
            </w:tcMar>
          </w:tcPr>
          <w:p w14:paraId="711F9BCE"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МНРНТ</w:t>
            </w:r>
            <w:r>
              <w:rPr>
                <w:rFonts w:ascii="Times New Roman" w:hAnsi="Times New Roman" w:cs="Times New Roman"/>
                <w:sz w:val="16"/>
                <w:szCs w:val="16"/>
              </w:rPr>
              <w:br/>
            </w:r>
            <w:r>
              <w:rPr>
                <w:rFonts w:ascii="Times New Roman" w:eastAsia="Arial" w:hAnsi="Times New Roman" w:cs="Times New Roman"/>
                <w:sz w:val="16"/>
                <w:szCs w:val="16"/>
              </w:rPr>
              <w:t>МДТ</w:t>
            </w:r>
          </w:p>
        </w:tc>
        <w:tc>
          <w:tcPr>
            <w:tcW w:w="1152" w:type="dxa"/>
            <w:tcMar>
              <w:top w:w="50" w:type="dxa"/>
              <w:left w:w="55" w:type="dxa"/>
              <w:bottom w:w="50" w:type="dxa"/>
              <w:right w:w="55" w:type="dxa"/>
            </w:tcMar>
          </w:tcPr>
          <w:p w14:paraId="64A91682"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Q1 2028</w:t>
            </w:r>
          </w:p>
        </w:tc>
        <w:tc>
          <w:tcPr>
            <w:tcW w:w="1299" w:type="dxa"/>
            <w:tcMar>
              <w:top w:w="50" w:type="dxa"/>
              <w:left w:w="55" w:type="dxa"/>
              <w:bottom w:w="50" w:type="dxa"/>
              <w:right w:w="55" w:type="dxa"/>
            </w:tcMar>
          </w:tcPr>
          <w:p w14:paraId="45D16FFD"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Q4 2029</w:t>
            </w:r>
          </w:p>
        </w:tc>
        <w:tc>
          <w:tcPr>
            <w:tcW w:w="1501" w:type="dxa"/>
            <w:tcMar>
              <w:top w:w="50" w:type="dxa"/>
              <w:left w:w="55" w:type="dxa"/>
              <w:bottom w:w="50" w:type="dxa"/>
              <w:right w:w="55" w:type="dxa"/>
            </w:tcMar>
          </w:tcPr>
          <w:p w14:paraId="0EC212EE" w14:textId="57F11C55"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lang w:val="mk-MK"/>
              </w:rPr>
              <w:t>4.000.000</w:t>
            </w:r>
          </w:p>
        </w:tc>
        <w:tc>
          <w:tcPr>
            <w:tcW w:w="1699" w:type="dxa"/>
            <w:tcMar>
              <w:top w:w="50" w:type="dxa"/>
              <w:left w:w="55" w:type="dxa"/>
              <w:bottom w:w="50" w:type="dxa"/>
              <w:right w:w="55" w:type="dxa"/>
            </w:tcMar>
          </w:tcPr>
          <w:p w14:paraId="465CFC04" w14:textId="77777777" w:rsidR="000E5E74" w:rsidRDefault="000E5E74" w:rsidP="000E5E74">
            <w:pPr>
              <w:spacing w:line="216" w:lineRule="auto"/>
              <w:rPr>
                <w:rFonts w:ascii="Times New Roman" w:hAnsi="Times New Roman" w:cs="Times New Roman"/>
                <w:sz w:val="16"/>
                <w:szCs w:val="16"/>
              </w:rPr>
            </w:pPr>
            <w:r>
              <w:rPr>
                <w:rFonts w:ascii="Times New Roman" w:eastAsia="Arial" w:hAnsi="Times New Roman" w:cs="Times New Roman"/>
                <w:sz w:val="16"/>
                <w:szCs w:val="16"/>
              </w:rPr>
              <w:t>Буџет на РСМ</w:t>
            </w:r>
          </w:p>
        </w:tc>
        <w:tc>
          <w:tcPr>
            <w:tcW w:w="3346" w:type="dxa"/>
            <w:vMerge/>
            <w:tcMar>
              <w:top w:w="50" w:type="dxa"/>
              <w:left w:w="55" w:type="dxa"/>
              <w:bottom w:w="50" w:type="dxa"/>
              <w:right w:w="55" w:type="dxa"/>
            </w:tcMar>
          </w:tcPr>
          <w:p w14:paraId="783D1132" w14:textId="77777777" w:rsidR="000E5E74" w:rsidRDefault="000E5E74" w:rsidP="000E5E74">
            <w:pPr>
              <w:rPr>
                <w:rFonts w:ascii="Times New Roman" w:hAnsi="Times New Roman" w:cs="Times New Roman"/>
              </w:rPr>
            </w:pPr>
          </w:p>
        </w:tc>
      </w:tr>
    </w:tbl>
    <w:p w14:paraId="29E539B5" w14:textId="77777777" w:rsidR="00FE200F" w:rsidRDefault="00FE200F">
      <w:pPr>
        <w:sectPr w:rsidR="00FE200F">
          <w:footerReference w:type="even" r:id="rId15"/>
          <w:footerReference w:type="default" r:id="rId16"/>
          <w:footerReference w:type="first" r:id="rId17"/>
          <w:pgSz w:w="16838" w:h="11906" w:orient="landscape"/>
          <w:pgMar w:top="340" w:right="395" w:bottom="777" w:left="312" w:header="0" w:footer="720" w:gutter="0"/>
          <w:cols w:space="720"/>
          <w:formProt w:val="0"/>
          <w:docGrid w:linePitch="360" w:charSpace="8192"/>
        </w:sectPr>
      </w:pPr>
    </w:p>
    <w:p w14:paraId="59E39065" w14:textId="77777777" w:rsidR="00FE200F" w:rsidRDefault="00E77CAF">
      <w:pPr>
        <w:pStyle w:val="Heading1"/>
        <w:rPr>
          <w:rFonts w:ascii="Times New Roman" w:hAnsi="Times New Roman" w:cs="Times New Roman"/>
          <w:color w:val="auto"/>
          <w:sz w:val="22"/>
          <w:szCs w:val="22"/>
        </w:rPr>
      </w:pPr>
      <w:bookmarkStart w:id="151" w:name="_Toc240630101"/>
      <w:bookmarkStart w:id="152" w:name="_Toc243908044"/>
      <w:r>
        <w:rPr>
          <w:rFonts w:ascii="Times New Roman" w:hAnsi="Times New Roman" w:cs="Times New Roman"/>
          <w:color w:val="auto"/>
          <w:sz w:val="22"/>
          <w:szCs w:val="22"/>
          <w:lang w:val="mk-MK"/>
        </w:rPr>
        <w:lastRenderedPageBreak/>
        <w:t>10</w:t>
      </w:r>
      <w:r>
        <w:rPr>
          <w:rFonts w:ascii="Times New Roman" w:hAnsi="Times New Roman" w:cs="Times New Roman"/>
          <w:color w:val="auto"/>
          <w:sz w:val="22"/>
          <w:szCs w:val="22"/>
        </w:rPr>
        <w:t xml:space="preserve">. </w:t>
      </w:r>
      <w:r>
        <w:rPr>
          <w:rFonts w:ascii="Times New Roman" w:hAnsi="Times New Roman" w:cs="Times New Roman"/>
          <w:color w:val="auto"/>
          <w:sz w:val="22"/>
          <w:szCs w:val="22"/>
        </w:rPr>
        <w:t>РАМКА ЗА СЛЕДЕЊЕ, ИЗВЕСТУВАЊЕ И ОЦЕНУВАЊЕ</w:t>
      </w:r>
      <w:bookmarkEnd w:id="151"/>
      <w:bookmarkEnd w:id="152"/>
    </w:p>
    <w:p w14:paraId="0A276303" w14:textId="77777777" w:rsidR="00FE200F" w:rsidRDefault="00E77CAF">
      <w:pPr>
        <w:jc w:val="both"/>
        <w:rPr>
          <w:rFonts w:ascii="Times New Roman" w:hAnsi="Times New Roman" w:cs="Times New Roman"/>
        </w:rPr>
      </w:pPr>
      <w:r>
        <w:rPr>
          <w:rFonts w:ascii="Times New Roman" w:hAnsi="Times New Roman" w:cs="Times New Roman"/>
        </w:rPr>
        <w:t xml:space="preserve">Успешната имплементација на </w:t>
      </w:r>
      <w:r>
        <w:rPr>
          <w:rFonts w:ascii="Times New Roman" w:hAnsi="Times New Roman" w:cs="Times New Roman"/>
          <w:lang w:val="mk-MK"/>
        </w:rPr>
        <w:t>С</w:t>
      </w:r>
      <w:r>
        <w:rPr>
          <w:rFonts w:ascii="Times New Roman" w:hAnsi="Times New Roman" w:cs="Times New Roman"/>
        </w:rPr>
        <w:t>тратегија</w:t>
      </w:r>
      <w:r>
        <w:rPr>
          <w:rFonts w:ascii="Times New Roman" w:hAnsi="Times New Roman" w:cs="Times New Roman"/>
          <w:lang w:val="mk-MK"/>
        </w:rPr>
        <w:t>та</w:t>
      </w:r>
      <w:r>
        <w:rPr>
          <w:rFonts w:ascii="Times New Roman" w:hAnsi="Times New Roman" w:cs="Times New Roman"/>
        </w:rPr>
        <w:t xml:space="preserve"> за </w:t>
      </w:r>
      <w:r>
        <w:rPr>
          <w:rFonts w:ascii="Times New Roman" w:hAnsi="Times New Roman" w:cs="Times New Roman"/>
          <w:lang w:val="mk-MK"/>
        </w:rPr>
        <w:t xml:space="preserve">употреба на </w:t>
      </w:r>
      <w:r>
        <w:rPr>
          <w:rFonts w:ascii="Times New Roman" w:hAnsi="Times New Roman" w:cs="Times New Roman"/>
        </w:rPr>
        <w:t>вештачка интелигенција</w:t>
      </w:r>
      <w:r>
        <w:rPr>
          <w:rFonts w:ascii="Times New Roman" w:hAnsi="Times New Roman" w:cs="Times New Roman"/>
          <w:lang w:val="mk-MK"/>
        </w:rPr>
        <w:t xml:space="preserve"> (ВИ)</w:t>
      </w:r>
      <w:r>
        <w:rPr>
          <w:rFonts w:ascii="Times New Roman" w:hAnsi="Times New Roman" w:cs="Times New Roman"/>
        </w:rPr>
        <w:t xml:space="preserve"> бара воспоставување на робустен механизам за следење (мониторинг), известување и оценување (евалуација). Овој механизам ќе обезбеди транспарентност, отчетност и можност за навремена адаптација на политиките.</w:t>
      </w:r>
    </w:p>
    <w:p w14:paraId="240E2848" w14:textId="77777777" w:rsidR="00FE200F" w:rsidRDefault="00E77CAF">
      <w:pPr>
        <w:pStyle w:val="Heading2"/>
        <w:rPr>
          <w:rFonts w:ascii="Times New Roman" w:hAnsi="Times New Roman" w:cs="Times New Roman"/>
          <w:color w:val="auto"/>
          <w:sz w:val="22"/>
          <w:szCs w:val="22"/>
        </w:rPr>
      </w:pPr>
      <w:bookmarkStart w:id="153" w:name="_Toc240630102"/>
      <w:bookmarkStart w:id="154" w:name="_Toc243908045"/>
      <w:r>
        <w:rPr>
          <w:rFonts w:ascii="Times New Roman" w:hAnsi="Times New Roman" w:cs="Times New Roman"/>
          <w:color w:val="auto"/>
          <w:sz w:val="22"/>
          <w:szCs w:val="22"/>
          <w:lang w:val="mk-MK"/>
        </w:rPr>
        <w:t>10</w:t>
      </w:r>
      <w:r>
        <w:rPr>
          <w:rFonts w:ascii="Times New Roman" w:hAnsi="Times New Roman" w:cs="Times New Roman"/>
          <w:color w:val="auto"/>
          <w:sz w:val="22"/>
          <w:szCs w:val="22"/>
        </w:rPr>
        <w:t>.1 Институционална поставеност за мониторинг</w:t>
      </w:r>
      <w:bookmarkEnd w:id="153"/>
      <w:bookmarkEnd w:id="154"/>
    </w:p>
    <w:p w14:paraId="4E2C22DA" w14:textId="77777777" w:rsidR="00FE200F" w:rsidRDefault="00E77CAF">
      <w:pPr>
        <w:jc w:val="both"/>
        <w:rPr>
          <w:rFonts w:ascii="Times New Roman" w:hAnsi="Times New Roman" w:cs="Times New Roman"/>
        </w:rPr>
      </w:pPr>
      <w:r>
        <w:rPr>
          <w:rFonts w:ascii="Times New Roman" w:hAnsi="Times New Roman" w:cs="Times New Roman"/>
        </w:rPr>
        <w:t>За следење на имплементацијата ќе се формира Национален совет за вештачка интелигенција, со претставници од клучните министерства, Државниот завод за статистика, академската заедница, приватниот сектор и граѓанското општество. Министерството за дигитална т</w:t>
      </w:r>
      <w:r>
        <w:rPr>
          <w:rFonts w:ascii="Times New Roman" w:hAnsi="Times New Roman" w:cs="Times New Roman"/>
        </w:rPr>
        <w:t>рансформација ќе ја има улогата на главен координатор и секретаријат на Советот. Со актот за формирање се уредуваат составот, мандатот, начинот на избор, правилата за судир на интереси, начинот на работа и јавноста на записниците и годишните извештаи. Сове</w:t>
      </w:r>
      <w:r>
        <w:rPr>
          <w:rFonts w:ascii="Times New Roman" w:hAnsi="Times New Roman" w:cs="Times New Roman"/>
        </w:rPr>
        <w:t>тодавните претставници се избираат преку јавни и однапред објавени критериуми, со соодветна застапеност на академската заедница, стопанските и работодавачките организации, граѓанските организации, локалната самоуправа, синдикатите и засегнатите групи. Нивн</w:t>
      </w:r>
      <w:r>
        <w:rPr>
          <w:rFonts w:ascii="Times New Roman" w:hAnsi="Times New Roman" w:cs="Times New Roman"/>
        </w:rPr>
        <w:t>ата улога е советодавна, консултативна и мониторинг-улога и не ги заменува законските надлежности на јавните органи и независните надзорни тела.</w:t>
      </w:r>
    </w:p>
    <w:p w14:paraId="0E41F717" w14:textId="77777777" w:rsidR="00FE200F" w:rsidRDefault="00E77CAF">
      <w:pPr>
        <w:pStyle w:val="Heading2"/>
        <w:rPr>
          <w:rFonts w:ascii="Times New Roman" w:hAnsi="Times New Roman" w:cs="Times New Roman"/>
          <w:color w:val="auto"/>
          <w:sz w:val="22"/>
          <w:szCs w:val="22"/>
        </w:rPr>
      </w:pPr>
      <w:bookmarkStart w:id="155" w:name="_Toc240630103"/>
      <w:bookmarkStart w:id="156" w:name="_Toc243908046"/>
      <w:r>
        <w:rPr>
          <w:rFonts w:ascii="Times New Roman" w:hAnsi="Times New Roman" w:cs="Times New Roman"/>
          <w:color w:val="auto"/>
          <w:sz w:val="22"/>
          <w:szCs w:val="22"/>
          <w:lang w:val="mk-MK"/>
        </w:rPr>
        <w:t>10</w:t>
      </w:r>
      <w:r>
        <w:rPr>
          <w:rFonts w:ascii="Times New Roman" w:hAnsi="Times New Roman" w:cs="Times New Roman"/>
          <w:color w:val="auto"/>
          <w:sz w:val="22"/>
          <w:szCs w:val="22"/>
        </w:rPr>
        <w:t>.2 Динамика на известување</w:t>
      </w:r>
      <w:bookmarkEnd w:id="155"/>
      <w:bookmarkEnd w:id="156"/>
    </w:p>
    <w:p w14:paraId="13B0E46E" w14:textId="77777777" w:rsidR="00FE200F" w:rsidRDefault="00E77CAF">
      <w:pPr>
        <w:jc w:val="both"/>
        <w:rPr>
          <w:rFonts w:ascii="Times New Roman" w:hAnsi="Times New Roman" w:cs="Times New Roman"/>
        </w:rPr>
      </w:pPr>
      <w:r>
        <w:rPr>
          <w:rFonts w:ascii="Times New Roman" w:hAnsi="Times New Roman" w:cs="Times New Roman"/>
        </w:rPr>
        <w:t>Годишен извештај за напредок: Министерството за дигитална трансформација ќе подгот</w:t>
      </w:r>
      <w:r>
        <w:rPr>
          <w:rFonts w:ascii="Times New Roman" w:hAnsi="Times New Roman" w:cs="Times New Roman"/>
        </w:rPr>
        <w:t>вува и јавно ќе објавува годишен извештај за статусот на реализација на мерките од Акцискиот план, кој ќе се доставува до Владата на усвојување најдоцна до крајот на првиот квартал од следната година. Извештајот содржи статус по мерка и активност, одговоре</w:t>
      </w:r>
      <w:r>
        <w:rPr>
          <w:rFonts w:ascii="Times New Roman" w:hAnsi="Times New Roman" w:cs="Times New Roman"/>
        </w:rPr>
        <w:t>н носител, постигнати резултати и исходи, користени средства и образложение на значајните отстапувања, ризици, корективни мерки и одлуки за продолжување, приспособување или прекин на активности, со почитување на прописите за заштита на личните податоци и т</w:t>
      </w:r>
      <w:r>
        <w:rPr>
          <w:rFonts w:ascii="Times New Roman" w:hAnsi="Times New Roman" w:cs="Times New Roman"/>
        </w:rPr>
        <w:t xml:space="preserve">ајноста на податоците. За секој показател се објавуваат дефиницијата, опфатот, референтната година, изворот, начинот на собирање, ограничувањата и статусот дали е официјален, административен или анкетен податок. Најмалку еднаш квартално се објавува краток </w:t>
      </w:r>
      <w:r>
        <w:rPr>
          <w:rFonts w:ascii="Times New Roman" w:hAnsi="Times New Roman" w:cs="Times New Roman"/>
        </w:rPr>
        <w:t>јавен преглед на напредокот по активности.</w:t>
      </w:r>
    </w:p>
    <w:p w14:paraId="043816D9" w14:textId="77777777" w:rsidR="00FE200F" w:rsidRDefault="00E77CAF">
      <w:pPr>
        <w:jc w:val="both"/>
        <w:rPr>
          <w:rFonts w:ascii="Times New Roman" w:hAnsi="Times New Roman" w:cs="Times New Roman"/>
        </w:rPr>
      </w:pPr>
      <w:r>
        <w:rPr>
          <w:rFonts w:ascii="Times New Roman" w:hAnsi="Times New Roman" w:cs="Times New Roman"/>
        </w:rPr>
        <w:t>Среднорочна евалуација (2029 година): Независна надворешна евалуација за ефектите од првите три години од имплементацијата, со цел ревидирање на Акцискиот план за периодот 2030-2032.</w:t>
      </w:r>
    </w:p>
    <w:p w14:paraId="76D12FDC" w14:textId="77777777" w:rsidR="00FE200F" w:rsidRDefault="00E77CAF">
      <w:pPr>
        <w:pStyle w:val="Heading2"/>
        <w:rPr>
          <w:rFonts w:ascii="Times New Roman" w:hAnsi="Times New Roman" w:cs="Times New Roman"/>
          <w:color w:val="auto"/>
          <w:sz w:val="22"/>
          <w:szCs w:val="22"/>
        </w:rPr>
      </w:pPr>
      <w:bookmarkStart w:id="157" w:name="_Toc240630104"/>
      <w:bookmarkStart w:id="158" w:name="_Toc243908047"/>
      <w:r>
        <w:rPr>
          <w:rFonts w:ascii="Times New Roman" w:hAnsi="Times New Roman" w:cs="Times New Roman"/>
          <w:color w:val="auto"/>
          <w:sz w:val="22"/>
          <w:szCs w:val="22"/>
          <w:lang w:val="mk-MK"/>
        </w:rPr>
        <w:t>10</w:t>
      </w:r>
      <w:r>
        <w:rPr>
          <w:rFonts w:ascii="Times New Roman" w:hAnsi="Times New Roman" w:cs="Times New Roman"/>
          <w:color w:val="auto"/>
          <w:sz w:val="22"/>
          <w:szCs w:val="22"/>
        </w:rPr>
        <w:t>.3 Национален ВИ Барометар –</w:t>
      </w:r>
      <w:r>
        <w:rPr>
          <w:rFonts w:ascii="Times New Roman" w:hAnsi="Times New Roman" w:cs="Times New Roman"/>
          <w:color w:val="auto"/>
          <w:sz w:val="22"/>
          <w:szCs w:val="22"/>
        </w:rPr>
        <w:t xml:space="preserve"> KPI рамка базирана на </w:t>
      </w:r>
      <w:r>
        <w:rPr>
          <w:rFonts w:ascii="Times New Roman" w:hAnsi="Times New Roman" w:cs="Times New Roman"/>
          <w:i/>
          <w:iCs/>
          <w:color w:val="auto"/>
          <w:sz w:val="22"/>
          <w:szCs w:val="22"/>
        </w:rPr>
        <w:t>Oxford Insights GARI</w:t>
      </w:r>
      <w:bookmarkEnd w:id="157"/>
      <w:bookmarkEnd w:id="158"/>
    </w:p>
    <w:p w14:paraId="5226117E" w14:textId="77777777" w:rsidR="00FE200F" w:rsidRDefault="00E77CAF">
      <w:pPr>
        <w:jc w:val="both"/>
        <w:rPr>
          <w:rFonts w:ascii="Times New Roman" w:hAnsi="Times New Roman" w:cs="Times New Roman"/>
        </w:rPr>
      </w:pPr>
      <w:r>
        <w:rPr>
          <w:rFonts w:ascii="Times New Roman" w:hAnsi="Times New Roman" w:cs="Times New Roman"/>
        </w:rPr>
        <w:t>Националниот ВИ Барометар ги користи објавените резултати од Индексот за подготвеност на владите за вештачка интелигенција на Oxford Insights, кога се достапни и методолошки споредливи, како надворешен компаратив</w:t>
      </w:r>
      <w:r>
        <w:rPr>
          <w:rFonts w:ascii="Times New Roman" w:hAnsi="Times New Roman" w:cs="Times New Roman"/>
        </w:rPr>
        <w:t xml:space="preserve">ен слој. Показателите на Барометарот се толкуваат заедно со националните показатели за спроведување и реални исходи; промените во методологијата, опфатот или достапноста на индексот се објавуваат покрај резултатите. Тековната позиција на Република Северна </w:t>
      </w:r>
      <w:r>
        <w:rPr>
          <w:rFonts w:ascii="Times New Roman" w:hAnsi="Times New Roman" w:cs="Times New Roman"/>
        </w:rPr>
        <w:t>Македонија е ранг 107 од 195 земји (2025); целта е 90–95 до 2029, 75–80 до 2030 и 55–60 до 2032, согласно Табела 1. Почетните вредности, ранговите и целните вредности во Табелите 1 и 2 се предмет на проверка со изворната публикација пред објавување на коне</w:t>
      </w:r>
      <w:r>
        <w:rPr>
          <w:rFonts w:ascii="Times New Roman" w:hAnsi="Times New Roman" w:cs="Times New Roman"/>
        </w:rPr>
        <w:t>чната верзија.</w:t>
      </w:r>
    </w:p>
    <w:p w14:paraId="1979F14F" w14:textId="77777777" w:rsidR="00FE200F" w:rsidRDefault="00E77CAF">
      <w:pPr>
        <w:jc w:val="both"/>
        <w:rPr>
          <w:rFonts w:ascii="Times New Roman" w:hAnsi="Times New Roman" w:cs="Times New Roman"/>
        </w:rPr>
      </w:pPr>
      <w:r>
        <w:rPr>
          <w:rFonts w:ascii="Times New Roman" w:hAnsi="Times New Roman" w:cs="Times New Roman"/>
        </w:rPr>
        <w:t>Табела 1 подолу ги прикажува тековните (</w:t>
      </w:r>
      <w:r>
        <w:rPr>
          <w:rFonts w:ascii="Times New Roman" w:hAnsi="Times New Roman" w:cs="Times New Roman"/>
          <w:i/>
          <w:iCs/>
        </w:rPr>
        <w:t>baseline</w:t>
      </w:r>
      <w:r>
        <w:rPr>
          <w:rFonts w:ascii="Times New Roman" w:hAnsi="Times New Roman" w:cs="Times New Roman"/>
        </w:rPr>
        <w:t xml:space="preserve">) вредности за секој </w:t>
      </w:r>
      <w:r>
        <w:rPr>
          <w:rFonts w:ascii="Times New Roman" w:hAnsi="Times New Roman" w:cs="Times New Roman"/>
          <w:lang w:val="mk-MK"/>
        </w:rPr>
        <w:t>димензија</w:t>
      </w:r>
      <w:r>
        <w:rPr>
          <w:rFonts w:ascii="Times New Roman" w:hAnsi="Times New Roman" w:cs="Times New Roman"/>
        </w:rPr>
        <w:t>, поставените цели и поврзаноста со Приоритетн</w:t>
      </w:r>
      <w:r>
        <w:rPr>
          <w:rFonts w:ascii="Times New Roman" w:hAnsi="Times New Roman" w:cs="Times New Roman"/>
          <w:lang w:val="mk-MK"/>
        </w:rPr>
        <w:t>и</w:t>
      </w:r>
      <w:r>
        <w:rPr>
          <w:rFonts w:ascii="Times New Roman" w:hAnsi="Times New Roman" w:cs="Times New Roman"/>
        </w:rPr>
        <w:t xml:space="preserve"> области на оваа Стратегија.</w:t>
      </w:r>
    </w:p>
    <w:tbl>
      <w:tblPr>
        <w:tblStyle w:val="TableGrid"/>
        <w:tblW w:w="5000" w:type="pct"/>
        <w:tblLayout w:type="fixed"/>
        <w:tblLook w:val="04A0" w:firstRow="1" w:lastRow="0" w:firstColumn="1" w:lastColumn="0" w:noHBand="0" w:noVBand="1"/>
      </w:tblPr>
      <w:tblGrid>
        <w:gridCol w:w="2157"/>
        <w:gridCol w:w="1008"/>
        <w:gridCol w:w="819"/>
        <w:gridCol w:w="818"/>
        <w:gridCol w:w="818"/>
        <w:gridCol w:w="2064"/>
        <w:gridCol w:w="2172"/>
      </w:tblGrid>
      <w:tr w:rsidR="00FE200F" w14:paraId="0AAEC1FD" w14:textId="77777777">
        <w:tc>
          <w:tcPr>
            <w:tcW w:w="2158" w:type="dxa"/>
            <w:shd w:val="clear" w:color="auto" w:fill="003366"/>
          </w:tcPr>
          <w:p w14:paraId="762B11B4" w14:textId="77777777" w:rsidR="00FE200F" w:rsidRDefault="00E77CAF">
            <w:pPr>
              <w:spacing w:line="228" w:lineRule="auto"/>
              <w:jc w:val="center"/>
              <w:rPr>
                <w:rFonts w:ascii="Times New Roman" w:hAnsi="Times New Roman" w:cs="Times New Roman"/>
                <w:color w:val="FFFFFF" w:themeColor="background1"/>
              </w:rPr>
            </w:pPr>
            <w:r>
              <w:rPr>
                <w:rFonts w:ascii="Times New Roman" w:eastAsia="Arial" w:hAnsi="Times New Roman" w:cs="Times New Roman"/>
                <w:b/>
                <w:color w:val="FFFFFF" w:themeColor="background1"/>
              </w:rPr>
              <w:t>Oxford Insights GARI димензија</w:t>
            </w:r>
          </w:p>
        </w:tc>
        <w:tc>
          <w:tcPr>
            <w:tcW w:w="1009" w:type="dxa"/>
            <w:shd w:val="clear" w:color="auto" w:fill="003366"/>
          </w:tcPr>
          <w:p w14:paraId="6D531475" w14:textId="77777777" w:rsidR="00FE200F" w:rsidRDefault="00E77CAF">
            <w:pPr>
              <w:jc w:val="center"/>
              <w:rPr>
                <w:rFonts w:ascii="Times New Roman" w:hAnsi="Times New Roman" w:cs="Times New Roman"/>
                <w:color w:val="FFFFFF" w:themeColor="background1"/>
              </w:rPr>
            </w:pPr>
            <w:r>
              <w:rPr>
                <w:rFonts w:ascii="Times New Roman" w:hAnsi="Times New Roman" w:cs="Times New Roman"/>
                <w:b/>
                <w:color w:val="FFFFFF" w:themeColor="background1"/>
              </w:rPr>
              <w:t>Baseline</w:t>
            </w:r>
            <w:r>
              <w:rPr>
                <w:rFonts w:ascii="Times New Roman" w:hAnsi="Times New Roman" w:cs="Times New Roman"/>
                <w:b/>
                <w:color w:val="FFFFFF" w:themeColor="background1"/>
              </w:rPr>
              <w:br/>
              <w:t>(2025)</w:t>
            </w:r>
          </w:p>
        </w:tc>
        <w:tc>
          <w:tcPr>
            <w:tcW w:w="820" w:type="dxa"/>
            <w:shd w:val="clear" w:color="auto" w:fill="003366"/>
          </w:tcPr>
          <w:p w14:paraId="2744C644" w14:textId="77777777" w:rsidR="00FE200F" w:rsidRDefault="00E77CAF">
            <w:pPr>
              <w:jc w:val="center"/>
              <w:rPr>
                <w:rFonts w:ascii="Times New Roman" w:hAnsi="Times New Roman" w:cs="Times New Roman"/>
                <w:color w:val="FFFFFF" w:themeColor="background1"/>
              </w:rPr>
            </w:pPr>
            <w:r>
              <w:rPr>
                <w:rFonts w:ascii="Times New Roman" w:hAnsi="Times New Roman" w:cs="Times New Roman"/>
                <w:b/>
                <w:color w:val="FFFFFF" w:themeColor="background1"/>
              </w:rPr>
              <w:t>Цел</w:t>
            </w:r>
            <w:r>
              <w:rPr>
                <w:rFonts w:ascii="Times New Roman" w:hAnsi="Times New Roman" w:cs="Times New Roman"/>
                <w:b/>
                <w:color w:val="FFFFFF" w:themeColor="background1"/>
              </w:rPr>
              <w:br/>
              <w:t>2029</w:t>
            </w:r>
          </w:p>
        </w:tc>
        <w:tc>
          <w:tcPr>
            <w:tcW w:w="819" w:type="dxa"/>
            <w:shd w:val="clear" w:color="auto" w:fill="003366"/>
          </w:tcPr>
          <w:p w14:paraId="1476D8A0" w14:textId="77777777" w:rsidR="00FE200F" w:rsidRDefault="00E77CAF">
            <w:pPr>
              <w:jc w:val="center"/>
              <w:rPr>
                <w:rFonts w:ascii="Times New Roman" w:hAnsi="Times New Roman" w:cs="Times New Roman"/>
                <w:color w:val="FFFFFF" w:themeColor="background1"/>
              </w:rPr>
            </w:pPr>
            <w:r>
              <w:rPr>
                <w:rFonts w:ascii="Times New Roman" w:hAnsi="Times New Roman" w:cs="Times New Roman"/>
                <w:b/>
                <w:color w:val="FFFFFF" w:themeColor="background1"/>
              </w:rPr>
              <w:t>Цел</w:t>
            </w:r>
            <w:r>
              <w:rPr>
                <w:rFonts w:ascii="Times New Roman" w:hAnsi="Times New Roman" w:cs="Times New Roman"/>
                <w:b/>
                <w:color w:val="FFFFFF" w:themeColor="background1"/>
              </w:rPr>
              <w:br/>
              <w:t>2030</w:t>
            </w:r>
          </w:p>
        </w:tc>
        <w:tc>
          <w:tcPr>
            <w:tcW w:w="819" w:type="dxa"/>
            <w:shd w:val="clear" w:color="auto" w:fill="003366"/>
          </w:tcPr>
          <w:p w14:paraId="2E613543" w14:textId="77777777" w:rsidR="00FE200F" w:rsidRDefault="00E77CAF">
            <w:pPr>
              <w:jc w:val="center"/>
              <w:rPr>
                <w:rFonts w:ascii="Times New Roman" w:hAnsi="Times New Roman" w:cs="Times New Roman"/>
                <w:color w:val="FFFFFF" w:themeColor="background1"/>
              </w:rPr>
            </w:pPr>
            <w:r>
              <w:rPr>
                <w:rFonts w:ascii="Times New Roman" w:hAnsi="Times New Roman" w:cs="Times New Roman"/>
                <w:b/>
                <w:color w:val="FFFFFF" w:themeColor="background1"/>
              </w:rPr>
              <w:t>Цел</w:t>
            </w:r>
            <w:r>
              <w:rPr>
                <w:rFonts w:ascii="Times New Roman" w:hAnsi="Times New Roman" w:cs="Times New Roman"/>
                <w:b/>
                <w:color w:val="FFFFFF" w:themeColor="background1"/>
              </w:rPr>
              <w:br/>
              <w:t>2032</w:t>
            </w:r>
          </w:p>
        </w:tc>
        <w:tc>
          <w:tcPr>
            <w:tcW w:w="2066" w:type="dxa"/>
            <w:shd w:val="clear" w:color="auto" w:fill="003366"/>
          </w:tcPr>
          <w:p w14:paraId="62451B96" w14:textId="77777777" w:rsidR="00FE200F" w:rsidRDefault="00E77CAF">
            <w:pPr>
              <w:spacing w:line="228" w:lineRule="auto"/>
              <w:jc w:val="center"/>
              <w:rPr>
                <w:rFonts w:ascii="Times New Roman" w:hAnsi="Times New Roman" w:cs="Times New Roman"/>
                <w:color w:val="FFFFFF" w:themeColor="background1"/>
              </w:rPr>
            </w:pPr>
            <w:r>
              <w:rPr>
                <w:rFonts w:ascii="Times New Roman" w:eastAsia="Arial" w:hAnsi="Times New Roman" w:cs="Times New Roman"/>
                <w:b/>
                <w:color w:val="FFFFFF" w:themeColor="background1"/>
              </w:rPr>
              <w:t xml:space="preserve">Поврзана </w:t>
            </w:r>
            <w:r>
              <w:rPr>
                <w:rFonts w:ascii="Times New Roman" w:eastAsia="Arial" w:hAnsi="Times New Roman" w:cs="Times New Roman"/>
                <w:b/>
                <w:color w:val="FFFFFF" w:themeColor="background1"/>
              </w:rPr>
              <w:t>стратешка Приоритетна област</w:t>
            </w:r>
          </w:p>
        </w:tc>
        <w:tc>
          <w:tcPr>
            <w:tcW w:w="2174" w:type="dxa"/>
            <w:shd w:val="clear" w:color="auto" w:fill="003366"/>
          </w:tcPr>
          <w:p w14:paraId="104037F1" w14:textId="77777777" w:rsidR="00FE200F" w:rsidRDefault="00E77CAF">
            <w:pPr>
              <w:jc w:val="center"/>
              <w:rPr>
                <w:rFonts w:ascii="Times New Roman" w:hAnsi="Times New Roman" w:cs="Times New Roman"/>
                <w:color w:val="FFFFFF" w:themeColor="background1"/>
              </w:rPr>
            </w:pPr>
            <w:r>
              <w:rPr>
                <w:rFonts w:ascii="Times New Roman" w:hAnsi="Times New Roman" w:cs="Times New Roman"/>
                <w:b/>
                <w:color w:val="FFFFFF" w:themeColor="background1"/>
              </w:rPr>
              <w:t>Клучни мерки за достигнување</w:t>
            </w:r>
          </w:p>
        </w:tc>
      </w:tr>
      <w:tr w:rsidR="00FE200F" w14:paraId="7153F6D2" w14:textId="77777777">
        <w:tc>
          <w:tcPr>
            <w:tcW w:w="2158" w:type="dxa"/>
          </w:tcPr>
          <w:p w14:paraId="6D54CB8B" w14:textId="77777777" w:rsidR="00FE200F" w:rsidRDefault="00E77CAF">
            <w:pPr>
              <w:rPr>
                <w:rFonts w:ascii="Times New Roman" w:hAnsi="Times New Roman" w:cs="Times New Roman"/>
              </w:rPr>
            </w:pPr>
            <w:r>
              <w:rPr>
                <w:rFonts w:ascii="Times New Roman" w:hAnsi="Times New Roman" w:cs="Times New Roman"/>
                <w:i/>
                <w:iCs/>
              </w:rPr>
              <w:lastRenderedPageBreak/>
              <w:t>Policy Capacity</w:t>
            </w:r>
            <w:r>
              <w:rPr>
                <w:rFonts w:ascii="Times New Roman" w:hAnsi="Times New Roman" w:cs="Times New Roman"/>
              </w:rPr>
              <w:br/>
              <w:t>(Капацитет за политики)</w:t>
            </w:r>
          </w:p>
        </w:tc>
        <w:tc>
          <w:tcPr>
            <w:tcW w:w="1009" w:type="dxa"/>
          </w:tcPr>
          <w:p w14:paraId="69117C05" w14:textId="77777777" w:rsidR="00FE200F" w:rsidRDefault="00E77CAF">
            <w:pPr>
              <w:jc w:val="center"/>
              <w:rPr>
                <w:rFonts w:ascii="Times New Roman" w:hAnsi="Times New Roman" w:cs="Times New Roman"/>
              </w:rPr>
            </w:pPr>
            <w:r>
              <w:rPr>
                <w:rFonts w:ascii="Times New Roman" w:hAnsi="Times New Roman" w:cs="Times New Roman"/>
              </w:rPr>
              <w:t>34.50</w:t>
            </w:r>
          </w:p>
        </w:tc>
        <w:tc>
          <w:tcPr>
            <w:tcW w:w="820" w:type="dxa"/>
          </w:tcPr>
          <w:p w14:paraId="5ECFB4A4" w14:textId="77777777" w:rsidR="00FE200F" w:rsidRDefault="00E77CAF">
            <w:pPr>
              <w:jc w:val="center"/>
              <w:rPr>
                <w:rFonts w:ascii="Times New Roman" w:hAnsi="Times New Roman" w:cs="Times New Roman"/>
              </w:rPr>
            </w:pPr>
            <w:r>
              <w:rPr>
                <w:rFonts w:ascii="Times New Roman" w:hAnsi="Times New Roman" w:cs="Times New Roman"/>
              </w:rPr>
              <w:t>42.00</w:t>
            </w:r>
          </w:p>
        </w:tc>
        <w:tc>
          <w:tcPr>
            <w:tcW w:w="819" w:type="dxa"/>
          </w:tcPr>
          <w:p w14:paraId="6151D5D6" w14:textId="77777777" w:rsidR="00FE200F" w:rsidRDefault="00E77CAF">
            <w:pPr>
              <w:jc w:val="center"/>
              <w:rPr>
                <w:rFonts w:ascii="Times New Roman" w:hAnsi="Times New Roman" w:cs="Times New Roman"/>
              </w:rPr>
            </w:pPr>
            <w:r>
              <w:rPr>
                <w:rFonts w:ascii="Times New Roman" w:hAnsi="Times New Roman" w:cs="Times New Roman"/>
              </w:rPr>
              <w:t>50.00</w:t>
            </w:r>
          </w:p>
        </w:tc>
        <w:tc>
          <w:tcPr>
            <w:tcW w:w="819" w:type="dxa"/>
          </w:tcPr>
          <w:p w14:paraId="1B855FEA" w14:textId="77777777" w:rsidR="00FE200F" w:rsidRDefault="00E77CAF">
            <w:pPr>
              <w:jc w:val="center"/>
              <w:rPr>
                <w:rFonts w:ascii="Times New Roman" w:hAnsi="Times New Roman" w:cs="Times New Roman"/>
              </w:rPr>
            </w:pPr>
            <w:r>
              <w:rPr>
                <w:rFonts w:ascii="Times New Roman" w:hAnsi="Times New Roman" w:cs="Times New Roman"/>
              </w:rPr>
              <w:t>70.00</w:t>
            </w:r>
          </w:p>
        </w:tc>
        <w:tc>
          <w:tcPr>
            <w:tcW w:w="2066" w:type="dxa"/>
          </w:tcPr>
          <w:p w14:paraId="66BD606F" w14:textId="77777777" w:rsidR="00FE200F" w:rsidRDefault="00E77CAF">
            <w:pPr>
              <w:rPr>
                <w:rFonts w:ascii="Times New Roman" w:hAnsi="Times New Roman" w:cs="Times New Roman"/>
              </w:rPr>
            </w:pPr>
            <w:r>
              <w:rPr>
                <w:rFonts w:ascii="Times New Roman" w:hAnsi="Times New Roman" w:cs="Times New Roman"/>
              </w:rPr>
              <w:t>Приоритетна област 5:</w:t>
            </w:r>
            <w:r>
              <w:rPr>
                <w:rFonts w:ascii="Times New Roman" w:hAnsi="Times New Roman" w:cs="Times New Roman"/>
              </w:rPr>
              <w:br/>
              <w:t>Правна и етичка рамка</w:t>
            </w:r>
          </w:p>
        </w:tc>
        <w:tc>
          <w:tcPr>
            <w:tcW w:w="2174" w:type="dxa"/>
          </w:tcPr>
          <w:p w14:paraId="0A2966A8" w14:textId="77777777" w:rsidR="00FE200F" w:rsidRDefault="00E77CAF">
            <w:pPr>
              <w:spacing w:line="228" w:lineRule="auto"/>
              <w:rPr>
                <w:rFonts w:ascii="Times New Roman" w:hAnsi="Times New Roman" w:cs="Times New Roman"/>
              </w:rPr>
            </w:pPr>
            <w:r>
              <w:rPr>
                <w:rFonts w:ascii="Times New Roman" w:eastAsia="Arial" w:hAnsi="Times New Roman" w:cs="Times New Roman"/>
              </w:rPr>
              <w:t>М5.1.1: Закон за ВИ</w:t>
            </w:r>
            <w:r>
              <w:rPr>
                <w:rFonts w:ascii="Times New Roman" w:hAnsi="Times New Roman" w:cs="Times New Roman"/>
              </w:rPr>
              <w:br/>
            </w:r>
            <w:r>
              <w:rPr>
                <w:rFonts w:ascii="Times New Roman" w:eastAsia="Arial" w:hAnsi="Times New Roman" w:cs="Times New Roman"/>
              </w:rPr>
              <w:t>М5.1.2: Надзорно тело</w:t>
            </w:r>
            <w:r>
              <w:rPr>
                <w:rFonts w:ascii="Times New Roman" w:hAnsi="Times New Roman" w:cs="Times New Roman"/>
              </w:rPr>
              <w:br/>
            </w:r>
            <w:r>
              <w:rPr>
                <w:rFonts w:ascii="Times New Roman" w:eastAsia="Arial" w:hAnsi="Times New Roman" w:cs="Times New Roman"/>
              </w:rPr>
              <w:t>М5.2.1: Хармонизација на ЗЗЛП</w:t>
            </w:r>
          </w:p>
        </w:tc>
      </w:tr>
      <w:tr w:rsidR="00FE200F" w14:paraId="39A2B7C4" w14:textId="77777777">
        <w:tc>
          <w:tcPr>
            <w:tcW w:w="2158" w:type="dxa"/>
          </w:tcPr>
          <w:p w14:paraId="3D30D48B" w14:textId="77777777" w:rsidR="00FE200F" w:rsidRDefault="00E77CAF">
            <w:pPr>
              <w:rPr>
                <w:rFonts w:ascii="Times New Roman" w:hAnsi="Times New Roman" w:cs="Times New Roman"/>
              </w:rPr>
            </w:pPr>
            <w:r>
              <w:rPr>
                <w:rFonts w:ascii="Times New Roman" w:hAnsi="Times New Roman" w:cs="Times New Roman"/>
                <w:i/>
                <w:iCs/>
              </w:rPr>
              <w:t xml:space="preserve">AI </w:t>
            </w:r>
            <w:r>
              <w:rPr>
                <w:rFonts w:ascii="Times New Roman" w:hAnsi="Times New Roman" w:cs="Times New Roman"/>
                <w:i/>
                <w:iCs/>
              </w:rPr>
              <w:t>Infrastructure</w:t>
            </w:r>
            <w:r>
              <w:rPr>
                <w:rFonts w:ascii="Times New Roman" w:hAnsi="Times New Roman" w:cs="Times New Roman"/>
              </w:rPr>
              <w:br/>
              <w:t>(ВИ Инфраструктура)</w:t>
            </w:r>
          </w:p>
        </w:tc>
        <w:tc>
          <w:tcPr>
            <w:tcW w:w="1009" w:type="dxa"/>
          </w:tcPr>
          <w:p w14:paraId="1556B4E3" w14:textId="77777777" w:rsidR="00FE200F" w:rsidRDefault="00E77CAF">
            <w:pPr>
              <w:jc w:val="center"/>
              <w:rPr>
                <w:rFonts w:ascii="Times New Roman" w:hAnsi="Times New Roman" w:cs="Times New Roman"/>
              </w:rPr>
            </w:pPr>
            <w:r>
              <w:rPr>
                <w:rFonts w:ascii="Times New Roman" w:hAnsi="Times New Roman" w:cs="Times New Roman"/>
              </w:rPr>
              <w:t>41.12</w:t>
            </w:r>
          </w:p>
        </w:tc>
        <w:tc>
          <w:tcPr>
            <w:tcW w:w="820" w:type="dxa"/>
          </w:tcPr>
          <w:p w14:paraId="3A661A85" w14:textId="77777777" w:rsidR="00FE200F" w:rsidRDefault="00E77CAF">
            <w:pPr>
              <w:jc w:val="center"/>
              <w:rPr>
                <w:rFonts w:ascii="Times New Roman" w:hAnsi="Times New Roman" w:cs="Times New Roman"/>
              </w:rPr>
            </w:pPr>
            <w:r>
              <w:rPr>
                <w:rFonts w:ascii="Times New Roman" w:hAnsi="Times New Roman" w:cs="Times New Roman"/>
              </w:rPr>
              <w:t>48.00</w:t>
            </w:r>
          </w:p>
        </w:tc>
        <w:tc>
          <w:tcPr>
            <w:tcW w:w="819" w:type="dxa"/>
          </w:tcPr>
          <w:p w14:paraId="7A1420AD" w14:textId="77777777" w:rsidR="00FE200F" w:rsidRDefault="00E77CAF">
            <w:pPr>
              <w:jc w:val="center"/>
              <w:rPr>
                <w:rFonts w:ascii="Times New Roman" w:hAnsi="Times New Roman" w:cs="Times New Roman"/>
              </w:rPr>
            </w:pPr>
            <w:r>
              <w:rPr>
                <w:rFonts w:ascii="Times New Roman" w:hAnsi="Times New Roman" w:cs="Times New Roman"/>
              </w:rPr>
              <w:t>52.00</w:t>
            </w:r>
          </w:p>
        </w:tc>
        <w:tc>
          <w:tcPr>
            <w:tcW w:w="819" w:type="dxa"/>
          </w:tcPr>
          <w:p w14:paraId="71368E2C" w14:textId="77777777" w:rsidR="00FE200F" w:rsidRDefault="00E77CAF">
            <w:pPr>
              <w:jc w:val="center"/>
              <w:rPr>
                <w:rFonts w:ascii="Times New Roman" w:hAnsi="Times New Roman" w:cs="Times New Roman"/>
              </w:rPr>
            </w:pPr>
            <w:r>
              <w:rPr>
                <w:rFonts w:ascii="Times New Roman" w:hAnsi="Times New Roman" w:cs="Times New Roman"/>
              </w:rPr>
              <w:t>62.00</w:t>
            </w:r>
          </w:p>
        </w:tc>
        <w:tc>
          <w:tcPr>
            <w:tcW w:w="2066" w:type="dxa"/>
          </w:tcPr>
          <w:p w14:paraId="54F91B74" w14:textId="77777777" w:rsidR="00FE200F" w:rsidRDefault="00E77CAF">
            <w:pPr>
              <w:rPr>
                <w:rFonts w:ascii="Times New Roman" w:hAnsi="Times New Roman" w:cs="Times New Roman"/>
              </w:rPr>
            </w:pPr>
            <w:r>
              <w:rPr>
                <w:rFonts w:ascii="Times New Roman" w:hAnsi="Times New Roman" w:cs="Times New Roman"/>
              </w:rPr>
              <w:t>Приоритетна област 4:</w:t>
            </w:r>
            <w:r>
              <w:rPr>
                <w:rFonts w:ascii="Times New Roman" w:hAnsi="Times New Roman" w:cs="Times New Roman"/>
              </w:rPr>
              <w:br/>
              <w:t>Податоци и инфраструктура</w:t>
            </w:r>
          </w:p>
        </w:tc>
        <w:tc>
          <w:tcPr>
            <w:tcW w:w="2174" w:type="dxa"/>
          </w:tcPr>
          <w:p w14:paraId="739F1983" w14:textId="77777777" w:rsidR="00FE200F" w:rsidRDefault="00E77CAF">
            <w:pPr>
              <w:spacing w:line="228" w:lineRule="auto"/>
              <w:rPr>
                <w:rFonts w:ascii="Times New Roman" w:hAnsi="Times New Roman" w:cs="Times New Roman"/>
              </w:rPr>
            </w:pPr>
            <w:r>
              <w:rPr>
                <w:rFonts w:ascii="Times New Roman" w:eastAsia="Arial" w:hAnsi="Times New Roman" w:cs="Times New Roman"/>
              </w:rPr>
              <w:t>М4.1.1–М4.1.2: HPC</w:t>
            </w:r>
            <w:r>
              <w:rPr>
                <w:rFonts w:ascii="Times New Roman" w:hAnsi="Times New Roman" w:cs="Times New Roman"/>
              </w:rPr>
              <w:br/>
            </w:r>
            <w:r>
              <w:rPr>
                <w:rFonts w:ascii="Times New Roman" w:eastAsia="Arial" w:hAnsi="Times New Roman" w:cs="Times New Roman"/>
              </w:rPr>
              <w:t>М4.2.1: Отворени податоци</w:t>
            </w:r>
            <w:r>
              <w:rPr>
                <w:rFonts w:ascii="Times New Roman" w:hAnsi="Times New Roman" w:cs="Times New Roman"/>
              </w:rPr>
              <w:br/>
            </w:r>
            <w:r>
              <w:rPr>
                <w:rFonts w:ascii="Times New Roman" w:eastAsia="Arial" w:hAnsi="Times New Roman" w:cs="Times New Roman"/>
              </w:rPr>
              <w:t>М4.2.2: Интероперабилност</w:t>
            </w:r>
          </w:p>
        </w:tc>
      </w:tr>
      <w:tr w:rsidR="00FE200F" w14:paraId="55E5AD8A" w14:textId="77777777">
        <w:tc>
          <w:tcPr>
            <w:tcW w:w="2158" w:type="dxa"/>
          </w:tcPr>
          <w:p w14:paraId="3270B9BD" w14:textId="77777777" w:rsidR="00FE200F" w:rsidRDefault="00E77CAF">
            <w:pPr>
              <w:rPr>
                <w:rFonts w:ascii="Times New Roman" w:hAnsi="Times New Roman" w:cs="Times New Roman"/>
              </w:rPr>
            </w:pPr>
            <w:r>
              <w:rPr>
                <w:rFonts w:ascii="Times New Roman" w:hAnsi="Times New Roman" w:cs="Times New Roman"/>
                <w:i/>
                <w:iCs/>
              </w:rPr>
              <w:t>Governance</w:t>
            </w:r>
            <w:r>
              <w:rPr>
                <w:rFonts w:ascii="Times New Roman" w:hAnsi="Times New Roman" w:cs="Times New Roman"/>
              </w:rPr>
              <w:br/>
              <w:t>(Управување)</w:t>
            </w:r>
          </w:p>
        </w:tc>
        <w:tc>
          <w:tcPr>
            <w:tcW w:w="1009" w:type="dxa"/>
          </w:tcPr>
          <w:p w14:paraId="299251D7" w14:textId="77777777" w:rsidR="00FE200F" w:rsidRDefault="00E77CAF">
            <w:pPr>
              <w:jc w:val="center"/>
              <w:rPr>
                <w:rFonts w:ascii="Times New Roman" w:hAnsi="Times New Roman" w:cs="Times New Roman"/>
              </w:rPr>
            </w:pPr>
            <w:r>
              <w:rPr>
                <w:rFonts w:ascii="Times New Roman" w:hAnsi="Times New Roman" w:cs="Times New Roman"/>
              </w:rPr>
              <w:t>45.00</w:t>
            </w:r>
          </w:p>
        </w:tc>
        <w:tc>
          <w:tcPr>
            <w:tcW w:w="820" w:type="dxa"/>
          </w:tcPr>
          <w:p w14:paraId="6D5A7833" w14:textId="77777777" w:rsidR="00FE200F" w:rsidRDefault="00E77CAF">
            <w:pPr>
              <w:jc w:val="center"/>
              <w:rPr>
                <w:rFonts w:ascii="Times New Roman" w:hAnsi="Times New Roman" w:cs="Times New Roman"/>
              </w:rPr>
            </w:pPr>
            <w:r>
              <w:rPr>
                <w:rFonts w:ascii="Times New Roman" w:hAnsi="Times New Roman" w:cs="Times New Roman"/>
              </w:rPr>
              <w:t>52.00</w:t>
            </w:r>
          </w:p>
        </w:tc>
        <w:tc>
          <w:tcPr>
            <w:tcW w:w="819" w:type="dxa"/>
          </w:tcPr>
          <w:p w14:paraId="42C2273A" w14:textId="77777777" w:rsidR="00FE200F" w:rsidRDefault="00E77CAF">
            <w:pPr>
              <w:jc w:val="center"/>
              <w:rPr>
                <w:rFonts w:ascii="Times New Roman" w:hAnsi="Times New Roman" w:cs="Times New Roman"/>
              </w:rPr>
            </w:pPr>
            <w:r>
              <w:rPr>
                <w:rFonts w:ascii="Times New Roman" w:hAnsi="Times New Roman" w:cs="Times New Roman"/>
              </w:rPr>
              <w:t>58.00</w:t>
            </w:r>
          </w:p>
        </w:tc>
        <w:tc>
          <w:tcPr>
            <w:tcW w:w="819" w:type="dxa"/>
          </w:tcPr>
          <w:p w14:paraId="2D67A8B9" w14:textId="77777777" w:rsidR="00FE200F" w:rsidRDefault="00E77CAF">
            <w:pPr>
              <w:jc w:val="center"/>
              <w:rPr>
                <w:rFonts w:ascii="Times New Roman" w:hAnsi="Times New Roman" w:cs="Times New Roman"/>
              </w:rPr>
            </w:pPr>
            <w:r>
              <w:rPr>
                <w:rFonts w:ascii="Times New Roman" w:hAnsi="Times New Roman" w:cs="Times New Roman"/>
              </w:rPr>
              <w:t>72.00</w:t>
            </w:r>
          </w:p>
        </w:tc>
        <w:tc>
          <w:tcPr>
            <w:tcW w:w="2066" w:type="dxa"/>
          </w:tcPr>
          <w:p w14:paraId="7CC09413" w14:textId="77777777" w:rsidR="00FE200F" w:rsidRDefault="00E77CAF">
            <w:pPr>
              <w:rPr>
                <w:rFonts w:ascii="Times New Roman" w:hAnsi="Times New Roman" w:cs="Times New Roman"/>
              </w:rPr>
            </w:pPr>
            <w:r>
              <w:rPr>
                <w:rFonts w:ascii="Times New Roman" w:hAnsi="Times New Roman" w:cs="Times New Roman"/>
              </w:rPr>
              <w:t>Приоритетна област 5:</w:t>
            </w:r>
            <w:r>
              <w:rPr>
                <w:rFonts w:ascii="Times New Roman" w:hAnsi="Times New Roman" w:cs="Times New Roman"/>
              </w:rPr>
              <w:br/>
              <w:t xml:space="preserve">Правна </w:t>
            </w:r>
            <w:r>
              <w:rPr>
                <w:rFonts w:ascii="Times New Roman" w:hAnsi="Times New Roman" w:cs="Times New Roman"/>
              </w:rPr>
              <w:t>и етичка рамка</w:t>
            </w:r>
          </w:p>
        </w:tc>
        <w:tc>
          <w:tcPr>
            <w:tcW w:w="2174" w:type="dxa"/>
          </w:tcPr>
          <w:p w14:paraId="02FD9910" w14:textId="77777777" w:rsidR="00FE200F" w:rsidRDefault="00E77CAF">
            <w:pPr>
              <w:spacing w:line="228" w:lineRule="auto"/>
              <w:rPr>
                <w:rFonts w:ascii="Times New Roman" w:hAnsi="Times New Roman" w:cs="Times New Roman"/>
              </w:rPr>
            </w:pPr>
            <w:r>
              <w:rPr>
                <w:rFonts w:ascii="Times New Roman" w:eastAsia="Arial" w:hAnsi="Times New Roman" w:cs="Times New Roman"/>
              </w:rPr>
              <w:t>М5.2.1: Хармонизација</w:t>
            </w:r>
            <w:r>
              <w:rPr>
                <w:rFonts w:ascii="Times New Roman" w:hAnsi="Times New Roman" w:cs="Times New Roman"/>
              </w:rPr>
              <w:br/>
            </w:r>
            <w:r>
              <w:rPr>
                <w:rFonts w:ascii="Times New Roman" w:eastAsia="Arial" w:hAnsi="Times New Roman" w:cs="Times New Roman"/>
              </w:rPr>
              <w:t>М5.3.1: Етички насоки</w:t>
            </w:r>
            <w:r>
              <w:rPr>
                <w:rFonts w:ascii="Times New Roman" w:hAnsi="Times New Roman" w:cs="Times New Roman"/>
              </w:rPr>
              <w:br/>
            </w:r>
            <w:r>
              <w:rPr>
                <w:rFonts w:ascii="Times New Roman" w:eastAsia="Arial" w:hAnsi="Times New Roman" w:cs="Times New Roman"/>
              </w:rPr>
              <w:t>М5.3.2: Sandbox</w:t>
            </w:r>
            <w:r>
              <w:rPr>
                <w:rFonts w:ascii="Times New Roman" w:hAnsi="Times New Roman" w:cs="Times New Roman"/>
              </w:rPr>
              <w:br/>
            </w:r>
            <w:r>
              <w:rPr>
                <w:rFonts w:ascii="Times New Roman" w:eastAsia="Arial" w:hAnsi="Times New Roman" w:cs="Times New Roman"/>
              </w:rPr>
              <w:t>М5.3.3: Меѓународна соработка</w:t>
            </w:r>
          </w:p>
        </w:tc>
      </w:tr>
      <w:tr w:rsidR="00FE200F" w14:paraId="72874667" w14:textId="77777777">
        <w:tc>
          <w:tcPr>
            <w:tcW w:w="2158" w:type="dxa"/>
          </w:tcPr>
          <w:p w14:paraId="673F5FD9" w14:textId="77777777" w:rsidR="00FE200F" w:rsidRDefault="00E77CAF">
            <w:pPr>
              <w:rPr>
                <w:rFonts w:ascii="Times New Roman" w:hAnsi="Times New Roman" w:cs="Times New Roman"/>
              </w:rPr>
            </w:pPr>
            <w:r>
              <w:rPr>
                <w:rFonts w:ascii="Times New Roman" w:hAnsi="Times New Roman" w:cs="Times New Roman"/>
                <w:i/>
                <w:iCs/>
              </w:rPr>
              <w:t>Public Sector Adoption</w:t>
            </w:r>
            <w:r>
              <w:rPr>
                <w:rFonts w:ascii="Times New Roman" w:hAnsi="Times New Roman" w:cs="Times New Roman"/>
              </w:rPr>
              <w:br/>
              <w:t>(Усвојување во јавен сектор)</w:t>
            </w:r>
          </w:p>
        </w:tc>
        <w:tc>
          <w:tcPr>
            <w:tcW w:w="1009" w:type="dxa"/>
          </w:tcPr>
          <w:p w14:paraId="054CFB13" w14:textId="77777777" w:rsidR="00FE200F" w:rsidRDefault="00E77CAF">
            <w:pPr>
              <w:jc w:val="center"/>
              <w:rPr>
                <w:rFonts w:ascii="Times New Roman" w:hAnsi="Times New Roman" w:cs="Times New Roman"/>
              </w:rPr>
            </w:pPr>
            <w:r>
              <w:rPr>
                <w:rFonts w:ascii="Times New Roman" w:hAnsi="Times New Roman" w:cs="Times New Roman"/>
              </w:rPr>
              <w:t>46.55</w:t>
            </w:r>
          </w:p>
        </w:tc>
        <w:tc>
          <w:tcPr>
            <w:tcW w:w="820" w:type="dxa"/>
          </w:tcPr>
          <w:p w14:paraId="7548C950" w14:textId="77777777" w:rsidR="00FE200F" w:rsidRDefault="00E77CAF">
            <w:pPr>
              <w:jc w:val="center"/>
              <w:rPr>
                <w:rFonts w:ascii="Times New Roman" w:hAnsi="Times New Roman" w:cs="Times New Roman"/>
              </w:rPr>
            </w:pPr>
            <w:r>
              <w:rPr>
                <w:rFonts w:ascii="Times New Roman" w:hAnsi="Times New Roman" w:cs="Times New Roman"/>
              </w:rPr>
              <w:t>55.00</w:t>
            </w:r>
          </w:p>
        </w:tc>
        <w:tc>
          <w:tcPr>
            <w:tcW w:w="819" w:type="dxa"/>
          </w:tcPr>
          <w:p w14:paraId="045FF1DC" w14:textId="77777777" w:rsidR="00FE200F" w:rsidRDefault="00E77CAF">
            <w:pPr>
              <w:jc w:val="center"/>
              <w:rPr>
                <w:rFonts w:ascii="Times New Roman" w:hAnsi="Times New Roman" w:cs="Times New Roman"/>
              </w:rPr>
            </w:pPr>
            <w:r>
              <w:rPr>
                <w:rFonts w:ascii="Times New Roman" w:hAnsi="Times New Roman" w:cs="Times New Roman"/>
              </w:rPr>
              <w:t>62.00</w:t>
            </w:r>
          </w:p>
        </w:tc>
        <w:tc>
          <w:tcPr>
            <w:tcW w:w="819" w:type="dxa"/>
          </w:tcPr>
          <w:p w14:paraId="6FCE38B2" w14:textId="77777777" w:rsidR="00FE200F" w:rsidRDefault="00E77CAF">
            <w:pPr>
              <w:jc w:val="center"/>
              <w:rPr>
                <w:rFonts w:ascii="Times New Roman" w:hAnsi="Times New Roman" w:cs="Times New Roman"/>
              </w:rPr>
            </w:pPr>
            <w:r>
              <w:rPr>
                <w:rFonts w:ascii="Times New Roman" w:hAnsi="Times New Roman" w:cs="Times New Roman"/>
              </w:rPr>
              <w:t>78.00</w:t>
            </w:r>
          </w:p>
        </w:tc>
        <w:tc>
          <w:tcPr>
            <w:tcW w:w="2066" w:type="dxa"/>
          </w:tcPr>
          <w:p w14:paraId="5561F235" w14:textId="77777777" w:rsidR="00FE200F" w:rsidRDefault="00E77CAF">
            <w:pPr>
              <w:rPr>
                <w:rFonts w:ascii="Times New Roman" w:hAnsi="Times New Roman" w:cs="Times New Roman"/>
              </w:rPr>
            </w:pPr>
            <w:r>
              <w:rPr>
                <w:rFonts w:ascii="Times New Roman" w:hAnsi="Times New Roman" w:cs="Times New Roman"/>
              </w:rPr>
              <w:t>Приоритетна област 1:</w:t>
            </w:r>
            <w:r>
              <w:rPr>
                <w:rFonts w:ascii="Times New Roman" w:hAnsi="Times New Roman" w:cs="Times New Roman"/>
              </w:rPr>
              <w:br/>
              <w:t>Јавен сектор</w:t>
            </w:r>
          </w:p>
        </w:tc>
        <w:tc>
          <w:tcPr>
            <w:tcW w:w="2174" w:type="dxa"/>
          </w:tcPr>
          <w:p w14:paraId="2995CA86" w14:textId="77777777" w:rsidR="00FE200F" w:rsidRDefault="00E77CAF">
            <w:pPr>
              <w:spacing w:line="228" w:lineRule="auto"/>
              <w:rPr>
                <w:rFonts w:ascii="Times New Roman" w:hAnsi="Times New Roman" w:cs="Times New Roman"/>
              </w:rPr>
            </w:pPr>
            <w:r>
              <w:rPr>
                <w:rFonts w:ascii="Times New Roman" w:eastAsia="Arial" w:hAnsi="Times New Roman" w:cs="Times New Roman"/>
              </w:rPr>
              <w:t>М1.2.1: ВИ асистенти</w:t>
            </w:r>
            <w:r>
              <w:rPr>
                <w:rFonts w:ascii="Times New Roman" w:hAnsi="Times New Roman" w:cs="Times New Roman"/>
              </w:rPr>
              <w:br/>
            </w:r>
            <w:r>
              <w:rPr>
                <w:rFonts w:ascii="Times New Roman" w:eastAsia="Arial" w:hAnsi="Times New Roman" w:cs="Times New Roman"/>
              </w:rPr>
              <w:t xml:space="preserve">М1.2.2: </w:t>
            </w:r>
            <w:r>
              <w:rPr>
                <w:rFonts w:ascii="Times New Roman" w:eastAsia="Arial" w:hAnsi="Times New Roman" w:cs="Times New Roman"/>
              </w:rPr>
              <w:t>Автоматизација</w:t>
            </w:r>
            <w:r>
              <w:rPr>
                <w:rFonts w:ascii="Times New Roman" w:hAnsi="Times New Roman" w:cs="Times New Roman"/>
              </w:rPr>
              <w:br/>
            </w:r>
            <w:r>
              <w:rPr>
                <w:rFonts w:ascii="Times New Roman" w:eastAsia="Arial" w:hAnsi="Times New Roman" w:cs="Times New Roman"/>
              </w:rPr>
              <w:t>М1.3.2: GovTech набавки</w:t>
            </w:r>
          </w:p>
        </w:tc>
      </w:tr>
      <w:tr w:rsidR="00FE200F" w14:paraId="5C693184" w14:textId="77777777">
        <w:tc>
          <w:tcPr>
            <w:tcW w:w="2158" w:type="dxa"/>
          </w:tcPr>
          <w:p w14:paraId="4AA4C172" w14:textId="77777777" w:rsidR="00FE200F" w:rsidRDefault="00E77CAF">
            <w:pPr>
              <w:rPr>
                <w:rFonts w:ascii="Times New Roman" w:hAnsi="Times New Roman" w:cs="Times New Roman"/>
              </w:rPr>
            </w:pPr>
            <w:r>
              <w:rPr>
                <w:rFonts w:ascii="Times New Roman" w:hAnsi="Times New Roman" w:cs="Times New Roman"/>
                <w:i/>
                <w:iCs/>
              </w:rPr>
              <w:t>Development &amp; Diffusion</w:t>
            </w:r>
            <w:r>
              <w:rPr>
                <w:rFonts w:ascii="Times New Roman" w:hAnsi="Times New Roman" w:cs="Times New Roman"/>
              </w:rPr>
              <w:br/>
              <w:t>(Развој и дифузија)</w:t>
            </w:r>
          </w:p>
        </w:tc>
        <w:tc>
          <w:tcPr>
            <w:tcW w:w="1009" w:type="dxa"/>
          </w:tcPr>
          <w:p w14:paraId="2D9E1F23" w14:textId="77777777" w:rsidR="00FE200F" w:rsidRDefault="00E77CAF">
            <w:pPr>
              <w:jc w:val="center"/>
              <w:rPr>
                <w:rFonts w:ascii="Times New Roman" w:hAnsi="Times New Roman" w:cs="Times New Roman"/>
              </w:rPr>
            </w:pPr>
            <w:r>
              <w:rPr>
                <w:rFonts w:ascii="Times New Roman" w:hAnsi="Times New Roman" w:cs="Times New Roman"/>
              </w:rPr>
              <w:t>24.85</w:t>
            </w:r>
          </w:p>
        </w:tc>
        <w:tc>
          <w:tcPr>
            <w:tcW w:w="820" w:type="dxa"/>
          </w:tcPr>
          <w:p w14:paraId="261D4AB2" w14:textId="77777777" w:rsidR="00FE200F" w:rsidRDefault="00E77CAF">
            <w:pPr>
              <w:jc w:val="center"/>
              <w:rPr>
                <w:rFonts w:ascii="Times New Roman" w:hAnsi="Times New Roman" w:cs="Times New Roman"/>
              </w:rPr>
            </w:pPr>
            <w:r>
              <w:rPr>
                <w:rFonts w:ascii="Times New Roman" w:hAnsi="Times New Roman" w:cs="Times New Roman"/>
              </w:rPr>
              <w:t>30.00</w:t>
            </w:r>
          </w:p>
        </w:tc>
        <w:tc>
          <w:tcPr>
            <w:tcW w:w="819" w:type="dxa"/>
          </w:tcPr>
          <w:p w14:paraId="4CC7655B" w14:textId="77777777" w:rsidR="00FE200F" w:rsidRDefault="00E77CAF">
            <w:pPr>
              <w:jc w:val="center"/>
              <w:rPr>
                <w:rFonts w:ascii="Times New Roman" w:hAnsi="Times New Roman" w:cs="Times New Roman"/>
              </w:rPr>
            </w:pPr>
            <w:r>
              <w:rPr>
                <w:rFonts w:ascii="Times New Roman" w:hAnsi="Times New Roman" w:cs="Times New Roman"/>
              </w:rPr>
              <w:t>35.00</w:t>
            </w:r>
          </w:p>
        </w:tc>
        <w:tc>
          <w:tcPr>
            <w:tcW w:w="819" w:type="dxa"/>
          </w:tcPr>
          <w:p w14:paraId="188833F8" w14:textId="77777777" w:rsidR="00FE200F" w:rsidRDefault="00E77CAF">
            <w:pPr>
              <w:jc w:val="center"/>
              <w:rPr>
                <w:rFonts w:ascii="Times New Roman" w:hAnsi="Times New Roman" w:cs="Times New Roman"/>
              </w:rPr>
            </w:pPr>
            <w:r>
              <w:rPr>
                <w:rFonts w:ascii="Times New Roman" w:hAnsi="Times New Roman" w:cs="Times New Roman"/>
              </w:rPr>
              <w:t>48.00</w:t>
            </w:r>
          </w:p>
        </w:tc>
        <w:tc>
          <w:tcPr>
            <w:tcW w:w="2066" w:type="dxa"/>
          </w:tcPr>
          <w:p w14:paraId="3C3E77C0" w14:textId="77777777" w:rsidR="00FE200F" w:rsidRDefault="00E77CAF">
            <w:pPr>
              <w:rPr>
                <w:rFonts w:ascii="Times New Roman" w:hAnsi="Times New Roman" w:cs="Times New Roman"/>
              </w:rPr>
            </w:pPr>
            <w:r>
              <w:rPr>
                <w:rFonts w:ascii="Times New Roman" w:hAnsi="Times New Roman" w:cs="Times New Roman"/>
              </w:rPr>
              <w:t>Приоритетна област 2 + Приоритетна област 3:</w:t>
            </w:r>
            <w:r>
              <w:rPr>
                <w:rFonts w:ascii="Times New Roman" w:hAnsi="Times New Roman" w:cs="Times New Roman"/>
              </w:rPr>
              <w:br/>
              <w:t>Економија + Образование</w:t>
            </w:r>
          </w:p>
        </w:tc>
        <w:tc>
          <w:tcPr>
            <w:tcW w:w="2174" w:type="dxa"/>
          </w:tcPr>
          <w:p w14:paraId="4384E59B" w14:textId="77777777" w:rsidR="00FE200F" w:rsidRDefault="00E77CAF">
            <w:pPr>
              <w:spacing w:line="228" w:lineRule="auto"/>
              <w:rPr>
                <w:rFonts w:ascii="Times New Roman" w:hAnsi="Times New Roman" w:cs="Times New Roman"/>
              </w:rPr>
            </w:pPr>
            <w:r>
              <w:rPr>
                <w:rFonts w:ascii="Times New Roman" w:eastAsia="Arial" w:hAnsi="Times New Roman" w:cs="Times New Roman"/>
              </w:rPr>
              <w:t>М2.1.1–М2.3.2: МСП, стартапи, СДИ и секторска ВИ</w:t>
            </w:r>
            <w:r>
              <w:rPr>
                <w:rFonts w:ascii="Times New Roman" w:hAnsi="Times New Roman" w:cs="Times New Roman"/>
              </w:rPr>
              <w:br/>
            </w:r>
            <w:r>
              <w:rPr>
                <w:rFonts w:ascii="Times New Roman" w:eastAsia="Arial" w:hAnsi="Times New Roman" w:cs="Times New Roman"/>
              </w:rPr>
              <w:t>М3.1.1–М3.3.1: Образование, LL</w:t>
            </w:r>
            <w:r>
              <w:rPr>
                <w:rFonts w:ascii="Times New Roman" w:eastAsia="Arial" w:hAnsi="Times New Roman" w:cs="Times New Roman"/>
              </w:rPr>
              <w:t>M и истражување</w:t>
            </w:r>
          </w:p>
        </w:tc>
      </w:tr>
      <w:tr w:rsidR="00FE200F" w14:paraId="13BA224B" w14:textId="77777777">
        <w:tc>
          <w:tcPr>
            <w:tcW w:w="2158" w:type="dxa"/>
          </w:tcPr>
          <w:p w14:paraId="4A9D765C" w14:textId="77777777" w:rsidR="00FE200F" w:rsidRDefault="00E77CAF">
            <w:pPr>
              <w:rPr>
                <w:rFonts w:ascii="Times New Roman" w:hAnsi="Times New Roman" w:cs="Times New Roman"/>
              </w:rPr>
            </w:pPr>
            <w:r>
              <w:rPr>
                <w:rFonts w:ascii="Times New Roman" w:hAnsi="Times New Roman" w:cs="Times New Roman"/>
                <w:i/>
                <w:iCs/>
              </w:rPr>
              <w:t>Resilience</w:t>
            </w:r>
            <w:r>
              <w:rPr>
                <w:rFonts w:ascii="Times New Roman" w:hAnsi="Times New Roman" w:cs="Times New Roman"/>
              </w:rPr>
              <w:br/>
              <w:t>(Отпорност)</w:t>
            </w:r>
          </w:p>
        </w:tc>
        <w:tc>
          <w:tcPr>
            <w:tcW w:w="1009" w:type="dxa"/>
          </w:tcPr>
          <w:p w14:paraId="15D2865C" w14:textId="77777777" w:rsidR="00FE200F" w:rsidRDefault="00E77CAF">
            <w:pPr>
              <w:jc w:val="center"/>
              <w:rPr>
                <w:rFonts w:ascii="Times New Roman" w:hAnsi="Times New Roman" w:cs="Times New Roman"/>
              </w:rPr>
            </w:pPr>
            <w:r>
              <w:rPr>
                <w:rFonts w:ascii="Times New Roman" w:hAnsi="Times New Roman" w:cs="Times New Roman"/>
              </w:rPr>
              <w:t>38.98</w:t>
            </w:r>
          </w:p>
        </w:tc>
        <w:tc>
          <w:tcPr>
            <w:tcW w:w="820" w:type="dxa"/>
          </w:tcPr>
          <w:p w14:paraId="48793038" w14:textId="77777777" w:rsidR="00FE200F" w:rsidRDefault="00E77CAF">
            <w:pPr>
              <w:jc w:val="center"/>
              <w:rPr>
                <w:rFonts w:ascii="Times New Roman" w:hAnsi="Times New Roman" w:cs="Times New Roman"/>
              </w:rPr>
            </w:pPr>
            <w:r>
              <w:rPr>
                <w:rFonts w:ascii="Times New Roman" w:hAnsi="Times New Roman" w:cs="Times New Roman"/>
              </w:rPr>
              <w:t>44.00</w:t>
            </w:r>
          </w:p>
        </w:tc>
        <w:tc>
          <w:tcPr>
            <w:tcW w:w="819" w:type="dxa"/>
          </w:tcPr>
          <w:p w14:paraId="6C3BA20B" w14:textId="77777777" w:rsidR="00FE200F" w:rsidRDefault="00E77CAF">
            <w:pPr>
              <w:jc w:val="center"/>
              <w:rPr>
                <w:rFonts w:ascii="Times New Roman" w:hAnsi="Times New Roman" w:cs="Times New Roman"/>
              </w:rPr>
            </w:pPr>
            <w:r>
              <w:rPr>
                <w:rFonts w:ascii="Times New Roman" w:hAnsi="Times New Roman" w:cs="Times New Roman"/>
              </w:rPr>
              <w:t>50.00</w:t>
            </w:r>
          </w:p>
        </w:tc>
        <w:tc>
          <w:tcPr>
            <w:tcW w:w="819" w:type="dxa"/>
          </w:tcPr>
          <w:p w14:paraId="46C467B2" w14:textId="77777777" w:rsidR="00FE200F" w:rsidRDefault="00E77CAF">
            <w:pPr>
              <w:jc w:val="center"/>
              <w:rPr>
                <w:rFonts w:ascii="Times New Roman" w:hAnsi="Times New Roman" w:cs="Times New Roman"/>
              </w:rPr>
            </w:pPr>
            <w:r>
              <w:rPr>
                <w:rFonts w:ascii="Times New Roman" w:hAnsi="Times New Roman" w:cs="Times New Roman"/>
              </w:rPr>
              <w:t>60.00</w:t>
            </w:r>
          </w:p>
        </w:tc>
        <w:tc>
          <w:tcPr>
            <w:tcW w:w="2066" w:type="dxa"/>
          </w:tcPr>
          <w:p w14:paraId="77CB007C" w14:textId="77777777" w:rsidR="00FE200F" w:rsidRDefault="00E77CAF">
            <w:pPr>
              <w:rPr>
                <w:rFonts w:ascii="Times New Roman" w:hAnsi="Times New Roman" w:cs="Times New Roman"/>
              </w:rPr>
            </w:pPr>
            <w:r>
              <w:rPr>
                <w:rFonts w:ascii="Times New Roman" w:hAnsi="Times New Roman" w:cs="Times New Roman"/>
              </w:rPr>
              <w:t>Приоритетна област 4 + Приоритетна област 5:</w:t>
            </w:r>
            <w:r>
              <w:rPr>
                <w:rFonts w:ascii="Times New Roman" w:hAnsi="Times New Roman" w:cs="Times New Roman"/>
              </w:rPr>
              <w:br/>
              <w:t>Инфраструктура + Правна рамка</w:t>
            </w:r>
          </w:p>
        </w:tc>
        <w:tc>
          <w:tcPr>
            <w:tcW w:w="2174" w:type="dxa"/>
          </w:tcPr>
          <w:p w14:paraId="41DE99AC" w14:textId="77777777" w:rsidR="00FE200F" w:rsidRDefault="00E77CAF">
            <w:pPr>
              <w:spacing w:line="228" w:lineRule="auto"/>
              <w:rPr>
                <w:rFonts w:ascii="Times New Roman" w:hAnsi="Times New Roman" w:cs="Times New Roman"/>
              </w:rPr>
            </w:pPr>
            <w:r>
              <w:rPr>
                <w:rFonts w:ascii="Times New Roman" w:eastAsia="Arial" w:hAnsi="Times New Roman" w:cs="Times New Roman"/>
              </w:rPr>
              <w:t>М4.3.1: Сајбер-безбедност</w:t>
            </w:r>
            <w:r>
              <w:rPr>
                <w:rFonts w:ascii="Times New Roman" w:hAnsi="Times New Roman" w:cs="Times New Roman"/>
              </w:rPr>
              <w:br/>
            </w:r>
            <w:r>
              <w:rPr>
                <w:rFonts w:ascii="Times New Roman" w:eastAsia="Arial" w:hAnsi="Times New Roman" w:cs="Times New Roman"/>
              </w:rPr>
              <w:t>М4.2.2: Интероперабилност</w:t>
            </w:r>
            <w:r>
              <w:rPr>
                <w:rFonts w:ascii="Times New Roman" w:hAnsi="Times New Roman" w:cs="Times New Roman"/>
              </w:rPr>
              <w:br/>
            </w:r>
            <w:r>
              <w:rPr>
                <w:rFonts w:ascii="Times New Roman" w:eastAsia="Arial" w:hAnsi="Times New Roman" w:cs="Times New Roman"/>
              </w:rPr>
              <w:t>М5.1.1: Правна рамка</w:t>
            </w:r>
          </w:p>
        </w:tc>
      </w:tr>
      <w:tr w:rsidR="00FE200F" w14:paraId="5DD354F9" w14:textId="77777777">
        <w:tc>
          <w:tcPr>
            <w:tcW w:w="2158" w:type="dxa"/>
            <w:shd w:val="clear" w:color="auto" w:fill="E8F0FE"/>
          </w:tcPr>
          <w:p w14:paraId="66C263AC" w14:textId="77777777" w:rsidR="00FE200F" w:rsidRDefault="00E77CAF">
            <w:pPr>
              <w:rPr>
                <w:rFonts w:ascii="Times New Roman" w:hAnsi="Times New Roman" w:cs="Times New Roman"/>
              </w:rPr>
            </w:pPr>
            <w:r>
              <w:rPr>
                <w:rFonts w:ascii="Times New Roman" w:hAnsi="Times New Roman" w:cs="Times New Roman"/>
                <w:b/>
              </w:rPr>
              <w:t>ВКУПЕН РАНГ</w:t>
            </w:r>
            <w:r>
              <w:rPr>
                <w:rFonts w:ascii="Times New Roman" w:hAnsi="Times New Roman" w:cs="Times New Roman"/>
                <w:b/>
              </w:rPr>
              <w:br/>
            </w:r>
            <w:r>
              <w:rPr>
                <w:rFonts w:ascii="Times New Roman" w:hAnsi="Times New Roman" w:cs="Times New Roman"/>
                <w:b/>
                <w:i/>
                <w:iCs/>
              </w:rPr>
              <w:t>(Oxford Insights GARI)</w:t>
            </w:r>
          </w:p>
        </w:tc>
        <w:tc>
          <w:tcPr>
            <w:tcW w:w="1009" w:type="dxa"/>
            <w:shd w:val="clear" w:color="auto" w:fill="E8F0FE"/>
          </w:tcPr>
          <w:p w14:paraId="4A76A1D0" w14:textId="77777777" w:rsidR="00FE200F" w:rsidRDefault="00E77CAF">
            <w:pPr>
              <w:jc w:val="center"/>
              <w:rPr>
                <w:rFonts w:ascii="Times New Roman" w:hAnsi="Times New Roman" w:cs="Times New Roman"/>
              </w:rPr>
            </w:pPr>
            <w:r>
              <w:rPr>
                <w:rFonts w:ascii="Times New Roman" w:hAnsi="Times New Roman" w:cs="Times New Roman"/>
                <w:b/>
              </w:rPr>
              <w:t xml:space="preserve">107 / </w:t>
            </w:r>
            <w:r>
              <w:rPr>
                <w:rFonts w:ascii="Times New Roman" w:hAnsi="Times New Roman" w:cs="Times New Roman"/>
                <w:b/>
              </w:rPr>
              <w:t>195</w:t>
            </w:r>
          </w:p>
        </w:tc>
        <w:tc>
          <w:tcPr>
            <w:tcW w:w="820" w:type="dxa"/>
            <w:shd w:val="clear" w:color="auto" w:fill="E8F0FE"/>
          </w:tcPr>
          <w:p w14:paraId="442A8AB8" w14:textId="77777777" w:rsidR="00FE200F" w:rsidRDefault="00E77CAF">
            <w:pPr>
              <w:jc w:val="center"/>
              <w:rPr>
                <w:rFonts w:ascii="Times New Roman" w:hAnsi="Times New Roman" w:cs="Times New Roman"/>
              </w:rPr>
            </w:pPr>
            <w:r>
              <w:rPr>
                <w:rFonts w:ascii="Times New Roman" w:hAnsi="Times New Roman" w:cs="Times New Roman"/>
                <w:b/>
              </w:rPr>
              <w:t>90–95</w:t>
            </w:r>
          </w:p>
        </w:tc>
        <w:tc>
          <w:tcPr>
            <w:tcW w:w="819" w:type="dxa"/>
            <w:shd w:val="clear" w:color="auto" w:fill="E8F0FE"/>
          </w:tcPr>
          <w:p w14:paraId="2F188CBC" w14:textId="77777777" w:rsidR="00FE200F" w:rsidRDefault="00E77CAF">
            <w:pPr>
              <w:jc w:val="center"/>
              <w:rPr>
                <w:rFonts w:ascii="Times New Roman" w:hAnsi="Times New Roman" w:cs="Times New Roman"/>
              </w:rPr>
            </w:pPr>
            <w:r>
              <w:rPr>
                <w:rFonts w:ascii="Times New Roman" w:hAnsi="Times New Roman" w:cs="Times New Roman"/>
                <w:b/>
              </w:rPr>
              <w:t>75–80</w:t>
            </w:r>
          </w:p>
        </w:tc>
        <w:tc>
          <w:tcPr>
            <w:tcW w:w="819" w:type="dxa"/>
            <w:shd w:val="clear" w:color="auto" w:fill="E8F0FE"/>
          </w:tcPr>
          <w:p w14:paraId="5BDBE49B" w14:textId="77777777" w:rsidR="00FE200F" w:rsidRDefault="00E77CAF">
            <w:pPr>
              <w:jc w:val="center"/>
              <w:rPr>
                <w:rFonts w:ascii="Times New Roman" w:hAnsi="Times New Roman" w:cs="Times New Roman"/>
              </w:rPr>
            </w:pPr>
            <w:r>
              <w:rPr>
                <w:rFonts w:ascii="Times New Roman" w:hAnsi="Times New Roman" w:cs="Times New Roman"/>
                <w:b/>
              </w:rPr>
              <w:t>55–60</w:t>
            </w:r>
          </w:p>
        </w:tc>
        <w:tc>
          <w:tcPr>
            <w:tcW w:w="2066" w:type="dxa"/>
            <w:shd w:val="clear" w:color="auto" w:fill="E8F0FE"/>
          </w:tcPr>
          <w:p w14:paraId="1DDE061F" w14:textId="77777777" w:rsidR="00FE200F" w:rsidRDefault="00E77CAF">
            <w:pPr>
              <w:rPr>
                <w:rFonts w:ascii="Times New Roman" w:hAnsi="Times New Roman" w:cs="Times New Roman"/>
              </w:rPr>
            </w:pPr>
            <w:r>
              <w:rPr>
                <w:rFonts w:ascii="Times New Roman" w:hAnsi="Times New Roman" w:cs="Times New Roman"/>
                <w:b/>
              </w:rPr>
              <w:t>Сите 5 Приоритетн</w:t>
            </w:r>
            <w:r>
              <w:rPr>
                <w:rFonts w:ascii="Times New Roman" w:hAnsi="Times New Roman" w:cs="Times New Roman"/>
                <w:b/>
                <w:lang w:val="mk-MK"/>
              </w:rPr>
              <w:t>и</w:t>
            </w:r>
            <w:r>
              <w:rPr>
                <w:rFonts w:ascii="Times New Roman" w:hAnsi="Times New Roman" w:cs="Times New Roman"/>
                <w:b/>
              </w:rPr>
              <w:t xml:space="preserve"> области</w:t>
            </w:r>
          </w:p>
        </w:tc>
        <w:tc>
          <w:tcPr>
            <w:tcW w:w="2174" w:type="dxa"/>
            <w:shd w:val="clear" w:color="auto" w:fill="E8F0FE"/>
          </w:tcPr>
          <w:p w14:paraId="699D97BE" w14:textId="77777777" w:rsidR="00FE200F" w:rsidRDefault="00E77CAF">
            <w:pPr>
              <w:rPr>
                <w:rFonts w:ascii="Times New Roman" w:hAnsi="Times New Roman" w:cs="Times New Roman"/>
              </w:rPr>
            </w:pPr>
            <w:r>
              <w:rPr>
                <w:rFonts w:ascii="Times New Roman" w:hAnsi="Times New Roman" w:cs="Times New Roman"/>
              </w:rPr>
              <w:t>Синергиска имплементација на сите 27 мерки и 78 активности</w:t>
            </w:r>
          </w:p>
        </w:tc>
      </w:tr>
    </w:tbl>
    <w:p w14:paraId="0F6FC574" w14:textId="77777777" w:rsidR="00FE200F" w:rsidRDefault="00E77CAF">
      <w:pPr>
        <w:jc w:val="both"/>
        <w:rPr>
          <w:rFonts w:ascii="Times New Roman" w:hAnsi="Times New Roman" w:cs="Times New Roman"/>
        </w:rPr>
      </w:pPr>
      <w:r>
        <w:rPr>
          <w:rFonts w:ascii="Times New Roman" w:hAnsi="Times New Roman" w:cs="Times New Roman"/>
          <w:i/>
        </w:rPr>
        <w:t>Табела 1: Национален ВИ Барометар – KPI рамка базирана на Oxford Insights GARI 2025</w:t>
      </w:r>
    </w:p>
    <w:p w14:paraId="4DF6A352" w14:textId="77777777" w:rsidR="00FE200F" w:rsidRDefault="00E77CAF">
      <w:pPr>
        <w:jc w:val="both"/>
        <w:rPr>
          <w:rFonts w:ascii="Times New Roman" w:hAnsi="Times New Roman" w:cs="Times New Roman"/>
        </w:rPr>
      </w:pPr>
      <w:r>
        <w:rPr>
          <w:rFonts w:ascii="Times New Roman" w:hAnsi="Times New Roman" w:cs="Times New Roman"/>
          <w:i/>
        </w:rPr>
        <w:t xml:space="preserve">Извор: Oxford Insights Government AI Readiness Index 2025 (195 </w:t>
      </w:r>
      <w:r>
        <w:rPr>
          <w:rFonts w:ascii="Times New Roman" w:hAnsi="Times New Roman" w:cs="Times New Roman"/>
          <w:i/>
        </w:rPr>
        <w:t>земји). Целните вредности се поставени врз основа на анализата на регионалните лидери (Србија: ранг 39, Хрватска: ранг 72) и реалниот потенцијал за раст на Македонија.</w:t>
      </w:r>
    </w:p>
    <w:p w14:paraId="09E452C4" w14:textId="77777777" w:rsidR="00FE200F" w:rsidRDefault="00E77CAF">
      <w:pPr>
        <w:pStyle w:val="Heading2"/>
        <w:rPr>
          <w:rFonts w:ascii="Times New Roman" w:hAnsi="Times New Roman" w:cs="Times New Roman"/>
          <w:color w:val="auto"/>
          <w:sz w:val="22"/>
          <w:szCs w:val="22"/>
        </w:rPr>
      </w:pPr>
      <w:bookmarkStart w:id="159" w:name="_Toc240630105"/>
      <w:bookmarkStart w:id="160" w:name="_Toc243908048"/>
      <w:r>
        <w:rPr>
          <w:rFonts w:ascii="Times New Roman" w:hAnsi="Times New Roman" w:cs="Times New Roman"/>
          <w:color w:val="auto"/>
          <w:sz w:val="22"/>
          <w:szCs w:val="22"/>
          <w:lang w:val="mk-MK"/>
        </w:rPr>
        <w:t>10</w:t>
      </w:r>
      <w:r>
        <w:rPr>
          <w:rFonts w:ascii="Times New Roman" w:hAnsi="Times New Roman" w:cs="Times New Roman"/>
          <w:color w:val="auto"/>
          <w:sz w:val="22"/>
          <w:szCs w:val="22"/>
        </w:rPr>
        <w:t>.4 Регионален контекст и бенчмарк</w:t>
      </w:r>
      <w:bookmarkEnd w:id="159"/>
      <w:bookmarkEnd w:id="160"/>
    </w:p>
    <w:p w14:paraId="1747D1BE" w14:textId="77777777" w:rsidR="00FE200F" w:rsidRDefault="00E77CAF">
      <w:pPr>
        <w:jc w:val="both"/>
        <w:rPr>
          <w:rFonts w:ascii="Times New Roman" w:hAnsi="Times New Roman" w:cs="Times New Roman"/>
        </w:rPr>
      </w:pPr>
      <w:r>
        <w:rPr>
          <w:rFonts w:ascii="Times New Roman" w:hAnsi="Times New Roman" w:cs="Times New Roman"/>
        </w:rPr>
        <w:t>Табела 2 ги прикажува тековните позиции на регионалн</w:t>
      </w:r>
      <w:r>
        <w:rPr>
          <w:rFonts w:ascii="Times New Roman" w:hAnsi="Times New Roman" w:cs="Times New Roman"/>
        </w:rPr>
        <w:t xml:space="preserve">ите земји во </w:t>
      </w:r>
      <w:r>
        <w:rPr>
          <w:rFonts w:ascii="Times New Roman" w:hAnsi="Times New Roman" w:cs="Times New Roman"/>
          <w:i/>
          <w:iCs/>
        </w:rPr>
        <w:t>Oxford Insights GARI</w:t>
      </w:r>
      <w:r>
        <w:rPr>
          <w:rFonts w:ascii="Times New Roman" w:hAnsi="Times New Roman" w:cs="Times New Roman"/>
        </w:rPr>
        <w:t xml:space="preserve"> 2025, кои служат како бенчмарк за следење на напредокот на Македонија.</w:t>
      </w:r>
    </w:p>
    <w:tbl>
      <w:tblPr>
        <w:tblStyle w:val="TableGrid"/>
        <w:tblW w:w="9442" w:type="dxa"/>
        <w:tblLayout w:type="fixed"/>
        <w:tblLook w:val="04A0" w:firstRow="1" w:lastRow="0" w:firstColumn="1" w:lastColumn="0" w:noHBand="0" w:noVBand="1"/>
      </w:tblPr>
      <w:tblGrid>
        <w:gridCol w:w="1727"/>
        <w:gridCol w:w="1235"/>
        <w:gridCol w:w="1298"/>
        <w:gridCol w:w="1294"/>
        <w:gridCol w:w="1299"/>
        <w:gridCol w:w="1293"/>
        <w:gridCol w:w="1296"/>
      </w:tblGrid>
      <w:tr w:rsidR="00FE200F" w14:paraId="1BAB8B8F" w14:textId="77777777">
        <w:tc>
          <w:tcPr>
            <w:tcW w:w="1726" w:type="dxa"/>
            <w:shd w:val="clear" w:color="auto" w:fill="003366"/>
          </w:tcPr>
          <w:p w14:paraId="394623C4" w14:textId="77777777" w:rsidR="00FE200F" w:rsidRDefault="00E77CAF">
            <w:pPr>
              <w:jc w:val="center"/>
              <w:rPr>
                <w:rFonts w:ascii="Times New Roman" w:hAnsi="Times New Roman" w:cs="Times New Roman"/>
                <w:color w:val="FFFFFF" w:themeColor="background1"/>
              </w:rPr>
            </w:pPr>
            <w:r>
              <w:rPr>
                <w:rFonts w:ascii="Times New Roman" w:hAnsi="Times New Roman" w:cs="Times New Roman"/>
                <w:b/>
                <w:color w:val="FFFFFF" w:themeColor="background1"/>
              </w:rPr>
              <w:lastRenderedPageBreak/>
              <w:t>Земја</w:t>
            </w:r>
          </w:p>
        </w:tc>
        <w:tc>
          <w:tcPr>
            <w:tcW w:w="1235" w:type="dxa"/>
            <w:shd w:val="clear" w:color="auto" w:fill="003366"/>
          </w:tcPr>
          <w:p w14:paraId="52D6E374" w14:textId="77777777" w:rsidR="00FE200F" w:rsidRDefault="00E77CAF">
            <w:pPr>
              <w:jc w:val="center"/>
              <w:rPr>
                <w:rFonts w:ascii="Times New Roman" w:hAnsi="Times New Roman" w:cs="Times New Roman"/>
                <w:color w:val="FFFFFF" w:themeColor="background1"/>
              </w:rPr>
            </w:pPr>
            <w:r>
              <w:rPr>
                <w:rFonts w:ascii="Times New Roman" w:hAnsi="Times New Roman" w:cs="Times New Roman"/>
                <w:b/>
                <w:color w:val="FFFFFF" w:themeColor="background1"/>
              </w:rPr>
              <w:t>Ранг</w:t>
            </w:r>
          </w:p>
        </w:tc>
        <w:tc>
          <w:tcPr>
            <w:tcW w:w="1298" w:type="dxa"/>
            <w:shd w:val="clear" w:color="auto" w:fill="003366"/>
          </w:tcPr>
          <w:p w14:paraId="18E0BD66" w14:textId="77777777" w:rsidR="00FE200F" w:rsidRDefault="00E77CAF">
            <w:pPr>
              <w:jc w:val="center"/>
              <w:rPr>
                <w:rFonts w:ascii="Times New Roman" w:hAnsi="Times New Roman" w:cs="Times New Roman"/>
                <w:i/>
                <w:iCs/>
                <w:color w:val="FFFFFF" w:themeColor="background1"/>
              </w:rPr>
            </w:pPr>
            <w:r>
              <w:rPr>
                <w:rFonts w:ascii="Times New Roman" w:hAnsi="Times New Roman" w:cs="Times New Roman"/>
                <w:b/>
                <w:i/>
                <w:iCs/>
                <w:color w:val="FFFFFF" w:themeColor="background1"/>
              </w:rPr>
              <w:t>Policy</w:t>
            </w:r>
            <w:r>
              <w:rPr>
                <w:rFonts w:ascii="Times New Roman" w:hAnsi="Times New Roman" w:cs="Times New Roman"/>
                <w:b/>
                <w:i/>
                <w:iCs/>
                <w:color w:val="FFFFFF" w:themeColor="background1"/>
              </w:rPr>
              <w:br/>
              <w:t>Capacity</w:t>
            </w:r>
          </w:p>
        </w:tc>
        <w:tc>
          <w:tcPr>
            <w:tcW w:w="1294" w:type="dxa"/>
            <w:shd w:val="clear" w:color="auto" w:fill="003366"/>
          </w:tcPr>
          <w:p w14:paraId="00CEA6E2" w14:textId="77777777" w:rsidR="00FE200F" w:rsidRDefault="00E77CAF">
            <w:pPr>
              <w:jc w:val="center"/>
              <w:rPr>
                <w:rFonts w:ascii="Times New Roman" w:hAnsi="Times New Roman" w:cs="Times New Roman"/>
                <w:i/>
                <w:iCs/>
                <w:color w:val="FFFFFF" w:themeColor="background1"/>
              </w:rPr>
            </w:pPr>
            <w:r>
              <w:rPr>
                <w:rFonts w:ascii="Times New Roman" w:hAnsi="Times New Roman" w:cs="Times New Roman"/>
                <w:b/>
                <w:i/>
                <w:iCs/>
                <w:color w:val="FFFFFF" w:themeColor="background1"/>
              </w:rPr>
              <w:t>AI</w:t>
            </w:r>
            <w:r>
              <w:rPr>
                <w:rFonts w:ascii="Times New Roman" w:hAnsi="Times New Roman" w:cs="Times New Roman"/>
                <w:b/>
                <w:i/>
                <w:iCs/>
                <w:color w:val="FFFFFF" w:themeColor="background1"/>
              </w:rPr>
              <w:br/>
              <w:t>Infrastructure</w:t>
            </w:r>
          </w:p>
        </w:tc>
        <w:tc>
          <w:tcPr>
            <w:tcW w:w="1299" w:type="dxa"/>
            <w:shd w:val="clear" w:color="auto" w:fill="003366"/>
          </w:tcPr>
          <w:p w14:paraId="12E4E1C1" w14:textId="77777777" w:rsidR="00FE200F" w:rsidRDefault="00E77CAF">
            <w:pPr>
              <w:jc w:val="center"/>
              <w:rPr>
                <w:rFonts w:ascii="Times New Roman" w:hAnsi="Times New Roman" w:cs="Times New Roman"/>
                <w:i/>
                <w:iCs/>
                <w:color w:val="FFFFFF" w:themeColor="background1"/>
              </w:rPr>
            </w:pPr>
            <w:r>
              <w:rPr>
                <w:rFonts w:ascii="Times New Roman" w:hAnsi="Times New Roman" w:cs="Times New Roman"/>
                <w:b/>
                <w:i/>
                <w:iCs/>
                <w:color w:val="FFFFFF" w:themeColor="background1"/>
              </w:rPr>
              <w:t>Governance</w:t>
            </w:r>
          </w:p>
        </w:tc>
        <w:tc>
          <w:tcPr>
            <w:tcW w:w="1293" w:type="dxa"/>
            <w:shd w:val="clear" w:color="auto" w:fill="003366"/>
          </w:tcPr>
          <w:p w14:paraId="71B55EAF" w14:textId="77777777" w:rsidR="00FE200F" w:rsidRDefault="00E77CAF">
            <w:pPr>
              <w:jc w:val="center"/>
              <w:rPr>
                <w:rFonts w:ascii="Times New Roman" w:hAnsi="Times New Roman" w:cs="Times New Roman"/>
                <w:i/>
                <w:iCs/>
                <w:color w:val="FFFFFF" w:themeColor="background1"/>
              </w:rPr>
            </w:pPr>
            <w:r>
              <w:rPr>
                <w:rFonts w:ascii="Times New Roman" w:hAnsi="Times New Roman" w:cs="Times New Roman"/>
                <w:b/>
                <w:i/>
                <w:iCs/>
                <w:color w:val="FFFFFF" w:themeColor="background1"/>
              </w:rPr>
              <w:t>Public Sector</w:t>
            </w:r>
            <w:r>
              <w:rPr>
                <w:rFonts w:ascii="Times New Roman" w:hAnsi="Times New Roman" w:cs="Times New Roman"/>
                <w:b/>
                <w:i/>
                <w:iCs/>
                <w:color w:val="FFFFFF" w:themeColor="background1"/>
              </w:rPr>
              <w:br/>
              <w:t>Adoption</w:t>
            </w:r>
          </w:p>
        </w:tc>
        <w:tc>
          <w:tcPr>
            <w:tcW w:w="1296" w:type="dxa"/>
            <w:shd w:val="clear" w:color="auto" w:fill="003366"/>
          </w:tcPr>
          <w:p w14:paraId="55FE6668" w14:textId="77777777" w:rsidR="00FE200F" w:rsidRDefault="00E77CAF">
            <w:pPr>
              <w:jc w:val="center"/>
              <w:rPr>
                <w:rFonts w:ascii="Times New Roman" w:hAnsi="Times New Roman" w:cs="Times New Roman"/>
                <w:i/>
                <w:iCs/>
                <w:color w:val="FFFFFF" w:themeColor="background1"/>
              </w:rPr>
            </w:pPr>
            <w:r>
              <w:rPr>
                <w:rFonts w:ascii="Times New Roman" w:hAnsi="Times New Roman" w:cs="Times New Roman"/>
                <w:b/>
                <w:i/>
                <w:iCs/>
                <w:color w:val="FFFFFF" w:themeColor="background1"/>
              </w:rPr>
              <w:t>Dev &amp;</w:t>
            </w:r>
            <w:r>
              <w:rPr>
                <w:rFonts w:ascii="Times New Roman" w:hAnsi="Times New Roman" w:cs="Times New Roman"/>
                <w:b/>
                <w:i/>
                <w:iCs/>
                <w:color w:val="FFFFFF" w:themeColor="background1"/>
              </w:rPr>
              <w:br/>
              <w:t>Diffusion</w:t>
            </w:r>
          </w:p>
        </w:tc>
      </w:tr>
      <w:tr w:rsidR="00FE200F" w14:paraId="27A8E3D1" w14:textId="77777777">
        <w:tc>
          <w:tcPr>
            <w:tcW w:w="1726" w:type="dxa"/>
          </w:tcPr>
          <w:p w14:paraId="1F15B662" w14:textId="77777777" w:rsidR="00FE200F" w:rsidRDefault="00E77CAF">
            <w:pPr>
              <w:rPr>
                <w:rFonts w:ascii="Times New Roman" w:hAnsi="Times New Roman" w:cs="Times New Roman"/>
              </w:rPr>
            </w:pPr>
            <w:r>
              <w:rPr>
                <w:rFonts w:ascii="Times New Roman" w:hAnsi="Times New Roman" w:cs="Times New Roman"/>
              </w:rPr>
              <w:t>Србија</w:t>
            </w:r>
          </w:p>
        </w:tc>
        <w:tc>
          <w:tcPr>
            <w:tcW w:w="1235" w:type="dxa"/>
          </w:tcPr>
          <w:p w14:paraId="1F028161" w14:textId="77777777" w:rsidR="00FE200F" w:rsidRDefault="00E77CAF">
            <w:pPr>
              <w:jc w:val="center"/>
              <w:rPr>
                <w:rFonts w:ascii="Times New Roman" w:hAnsi="Times New Roman" w:cs="Times New Roman"/>
              </w:rPr>
            </w:pPr>
            <w:r>
              <w:rPr>
                <w:rFonts w:ascii="Times New Roman" w:hAnsi="Times New Roman" w:cs="Times New Roman"/>
              </w:rPr>
              <w:t>39</w:t>
            </w:r>
          </w:p>
        </w:tc>
        <w:tc>
          <w:tcPr>
            <w:tcW w:w="1298" w:type="dxa"/>
          </w:tcPr>
          <w:p w14:paraId="3E2A2D6C" w14:textId="77777777" w:rsidR="00FE200F" w:rsidRDefault="00E77CAF">
            <w:pPr>
              <w:jc w:val="center"/>
              <w:rPr>
                <w:rFonts w:ascii="Times New Roman" w:hAnsi="Times New Roman" w:cs="Times New Roman"/>
              </w:rPr>
            </w:pPr>
            <w:r>
              <w:rPr>
                <w:rFonts w:ascii="Times New Roman" w:hAnsi="Times New Roman" w:cs="Times New Roman"/>
              </w:rPr>
              <w:t>100</w:t>
            </w:r>
            <w:r>
              <w:rPr>
                <w:rFonts w:ascii="Times New Roman" w:hAnsi="Times New Roman" w:cs="Times New Roman"/>
                <w:lang w:val="mk-MK"/>
              </w:rPr>
              <w:t>,</w:t>
            </w:r>
            <w:r>
              <w:rPr>
                <w:rFonts w:ascii="Times New Roman" w:hAnsi="Times New Roman" w:cs="Times New Roman"/>
              </w:rPr>
              <w:t>00</w:t>
            </w:r>
          </w:p>
        </w:tc>
        <w:tc>
          <w:tcPr>
            <w:tcW w:w="1294" w:type="dxa"/>
          </w:tcPr>
          <w:p w14:paraId="731D5123" w14:textId="77777777" w:rsidR="00FE200F" w:rsidRDefault="00E77CAF">
            <w:pPr>
              <w:jc w:val="center"/>
              <w:rPr>
                <w:rFonts w:ascii="Times New Roman" w:hAnsi="Times New Roman" w:cs="Times New Roman"/>
              </w:rPr>
            </w:pPr>
            <w:r>
              <w:rPr>
                <w:rFonts w:ascii="Times New Roman" w:hAnsi="Times New Roman" w:cs="Times New Roman"/>
              </w:rPr>
              <w:t>52</w:t>
            </w:r>
            <w:r>
              <w:rPr>
                <w:rFonts w:ascii="Times New Roman" w:hAnsi="Times New Roman" w:cs="Times New Roman"/>
                <w:lang w:val="mk-MK"/>
              </w:rPr>
              <w:t>,</w:t>
            </w:r>
            <w:r>
              <w:rPr>
                <w:rFonts w:ascii="Times New Roman" w:hAnsi="Times New Roman" w:cs="Times New Roman"/>
              </w:rPr>
              <w:t>75</w:t>
            </w:r>
          </w:p>
        </w:tc>
        <w:tc>
          <w:tcPr>
            <w:tcW w:w="1299" w:type="dxa"/>
          </w:tcPr>
          <w:p w14:paraId="46BEA1CD" w14:textId="77777777" w:rsidR="00FE200F" w:rsidRDefault="00E77CAF">
            <w:pPr>
              <w:jc w:val="center"/>
              <w:rPr>
                <w:rFonts w:ascii="Times New Roman" w:hAnsi="Times New Roman" w:cs="Times New Roman"/>
              </w:rPr>
            </w:pPr>
            <w:r>
              <w:rPr>
                <w:rFonts w:ascii="Times New Roman" w:hAnsi="Times New Roman" w:cs="Times New Roman"/>
              </w:rPr>
              <w:t>78</w:t>
            </w:r>
            <w:r>
              <w:rPr>
                <w:rFonts w:ascii="Times New Roman" w:hAnsi="Times New Roman" w:cs="Times New Roman"/>
                <w:lang w:val="mk-MK"/>
              </w:rPr>
              <w:t>,</w:t>
            </w:r>
            <w:r>
              <w:rPr>
                <w:rFonts w:ascii="Times New Roman" w:hAnsi="Times New Roman" w:cs="Times New Roman"/>
              </w:rPr>
              <w:t>64</w:t>
            </w:r>
          </w:p>
        </w:tc>
        <w:tc>
          <w:tcPr>
            <w:tcW w:w="1293" w:type="dxa"/>
          </w:tcPr>
          <w:p w14:paraId="1A521981" w14:textId="77777777" w:rsidR="00FE200F" w:rsidRDefault="00E77CAF">
            <w:pPr>
              <w:jc w:val="center"/>
              <w:rPr>
                <w:rFonts w:ascii="Times New Roman" w:hAnsi="Times New Roman" w:cs="Times New Roman"/>
              </w:rPr>
            </w:pPr>
            <w:r>
              <w:rPr>
                <w:rFonts w:ascii="Times New Roman" w:hAnsi="Times New Roman" w:cs="Times New Roman"/>
              </w:rPr>
              <w:t>83</w:t>
            </w:r>
            <w:r>
              <w:rPr>
                <w:rFonts w:ascii="Times New Roman" w:hAnsi="Times New Roman" w:cs="Times New Roman"/>
                <w:lang w:val="mk-MK"/>
              </w:rPr>
              <w:t>,</w:t>
            </w:r>
            <w:r>
              <w:rPr>
                <w:rFonts w:ascii="Times New Roman" w:hAnsi="Times New Roman" w:cs="Times New Roman"/>
              </w:rPr>
              <w:t>92</w:t>
            </w:r>
          </w:p>
        </w:tc>
        <w:tc>
          <w:tcPr>
            <w:tcW w:w="1296" w:type="dxa"/>
          </w:tcPr>
          <w:p w14:paraId="5AA93025" w14:textId="77777777" w:rsidR="00FE200F" w:rsidRDefault="00E77CAF">
            <w:pPr>
              <w:jc w:val="center"/>
              <w:rPr>
                <w:rFonts w:ascii="Times New Roman" w:hAnsi="Times New Roman" w:cs="Times New Roman"/>
              </w:rPr>
            </w:pPr>
            <w:r>
              <w:rPr>
                <w:rFonts w:ascii="Times New Roman" w:hAnsi="Times New Roman" w:cs="Times New Roman"/>
              </w:rPr>
              <w:t>35</w:t>
            </w:r>
            <w:r>
              <w:rPr>
                <w:rFonts w:ascii="Times New Roman" w:hAnsi="Times New Roman" w:cs="Times New Roman"/>
                <w:lang w:val="mk-MK"/>
              </w:rPr>
              <w:t>,</w:t>
            </w:r>
            <w:r>
              <w:rPr>
                <w:rFonts w:ascii="Times New Roman" w:hAnsi="Times New Roman" w:cs="Times New Roman"/>
              </w:rPr>
              <w:t>78</w:t>
            </w:r>
          </w:p>
        </w:tc>
      </w:tr>
      <w:tr w:rsidR="00FE200F" w14:paraId="2B0E43C8" w14:textId="77777777">
        <w:tc>
          <w:tcPr>
            <w:tcW w:w="1726" w:type="dxa"/>
          </w:tcPr>
          <w:p w14:paraId="1538A3BE" w14:textId="77777777" w:rsidR="00FE200F" w:rsidRDefault="00E77CAF">
            <w:pPr>
              <w:rPr>
                <w:rFonts w:ascii="Times New Roman" w:hAnsi="Times New Roman" w:cs="Times New Roman"/>
              </w:rPr>
            </w:pPr>
            <w:r>
              <w:rPr>
                <w:rFonts w:ascii="Times New Roman" w:hAnsi="Times New Roman" w:cs="Times New Roman"/>
              </w:rPr>
              <w:t>Хрватска</w:t>
            </w:r>
          </w:p>
        </w:tc>
        <w:tc>
          <w:tcPr>
            <w:tcW w:w="1235" w:type="dxa"/>
          </w:tcPr>
          <w:p w14:paraId="38EE6932" w14:textId="77777777" w:rsidR="00FE200F" w:rsidRDefault="00E77CAF">
            <w:pPr>
              <w:jc w:val="center"/>
              <w:rPr>
                <w:rFonts w:ascii="Times New Roman" w:hAnsi="Times New Roman" w:cs="Times New Roman"/>
              </w:rPr>
            </w:pPr>
            <w:r>
              <w:rPr>
                <w:rFonts w:ascii="Times New Roman" w:hAnsi="Times New Roman" w:cs="Times New Roman"/>
              </w:rPr>
              <w:t>72</w:t>
            </w:r>
          </w:p>
        </w:tc>
        <w:tc>
          <w:tcPr>
            <w:tcW w:w="1298" w:type="dxa"/>
          </w:tcPr>
          <w:p w14:paraId="2D466D58" w14:textId="77777777" w:rsidR="00FE200F" w:rsidRDefault="00E77CAF">
            <w:pPr>
              <w:jc w:val="center"/>
              <w:rPr>
                <w:rFonts w:ascii="Times New Roman" w:hAnsi="Times New Roman" w:cs="Times New Roman"/>
              </w:rPr>
            </w:pPr>
            <w:r>
              <w:rPr>
                <w:rFonts w:ascii="Times New Roman" w:hAnsi="Times New Roman" w:cs="Times New Roman"/>
              </w:rPr>
              <w:t>34</w:t>
            </w:r>
            <w:r>
              <w:rPr>
                <w:rFonts w:ascii="Times New Roman" w:hAnsi="Times New Roman" w:cs="Times New Roman"/>
                <w:lang w:val="mk-MK"/>
              </w:rPr>
              <w:t>,</w:t>
            </w:r>
            <w:r>
              <w:rPr>
                <w:rFonts w:ascii="Times New Roman" w:hAnsi="Times New Roman" w:cs="Times New Roman"/>
              </w:rPr>
              <w:t>50</w:t>
            </w:r>
          </w:p>
        </w:tc>
        <w:tc>
          <w:tcPr>
            <w:tcW w:w="1294" w:type="dxa"/>
          </w:tcPr>
          <w:p w14:paraId="01DD9C11" w14:textId="77777777" w:rsidR="00FE200F" w:rsidRDefault="00E77CAF">
            <w:pPr>
              <w:jc w:val="center"/>
              <w:rPr>
                <w:rFonts w:ascii="Times New Roman" w:hAnsi="Times New Roman" w:cs="Times New Roman"/>
              </w:rPr>
            </w:pPr>
            <w:r>
              <w:rPr>
                <w:rFonts w:ascii="Times New Roman" w:hAnsi="Times New Roman" w:cs="Times New Roman"/>
              </w:rPr>
              <w:t>52</w:t>
            </w:r>
            <w:r>
              <w:rPr>
                <w:rFonts w:ascii="Times New Roman" w:hAnsi="Times New Roman" w:cs="Times New Roman"/>
                <w:lang w:val="mk-MK"/>
              </w:rPr>
              <w:t>,</w:t>
            </w:r>
            <w:r>
              <w:rPr>
                <w:rFonts w:ascii="Times New Roman" w:hAnsi="Times New Roman" w:cs="Times New Roman"/>
              </w:rPr>
              <w:t>04</w:t>
            </w:r>
          </w:p>
        </w:tc>
        <w:tc>
          <w:tcPr>
            <w:tcW w:w="1299" w:type="dxa"/>
          </w:tcPr>
          <w:p w14:paraId="2DB8FC83" w14:textId="77777777" w:rsidR="00FE200F" w:rsidRDefault="00E77CAF">
            <w:pPr>
              <w:jc w:val="center"/>
              <w:rPr>
                <w:rFonts w:ascii="Times New Roman" w:hAnsi="Times New Roman" w:cs="Times New Roman"/>
              </w:rPr>
            </w:pPr>
            <w:r>
              <w:rPr>
                <w:rFonts w:ascii="Times New Roman" w:hAnsi="Times New Roman" w:cs="Times New Roman"/>
              </w:rPr>
              <w:t>70</w:t>
            </w:r>
            <w:r>
              <w:rPr>
                <w:rFonts w:ascii="Times New Roman" w:hAnsi="Times New Roman" w:cs="Times New Roman"/>
                <w:lang w:val="mk-MK"/>
              </w:rPr>
              <w:t>,</w:t>
            </w:r>
            <w:r>
              <w:rPr>
                <w:rFonts w:ascii="Times New Roman" w:hAnsi="Times New Roman" w:cs="Times New Roman"/>
              </w:rPr>
              <w:t>64</w:t>
            </w:r>
          </w:p>
        </w:tc>
        <w:tc>
          <w:tcPr>
            <w:tcW w:w="1293" w:type="dxa"/>
          </w:tcPr>
          <w:p w14:paraId="2CBBFA3F" w14:textId="77777777" w:rsidR="00FE200F" w:rsidRDefault="00E77CAF">
            <w:pPr>
              <w:jc w:val="center"/>
              <w:rPr>
                <w:rFonts w:ascii="Times New Roman" w:hAnsi="Times New Roman" w:cs="Times New Roman"/>
              </w:rPr>
            </w:pPr>
            <w:r>
              <w:rPr>
                <w:rFonts w:ascii="Times New Roman" w:hAnsi="Times New Roman" w:cs="Times New Roman"/>
              </w:rPr>
              <w:t>71</w:t>
            </w:r>
            <w:r>
              <w:rPr>
                <w:rFonts w:ascii="Times New Roman" w:hAnsi="Times New Roman" w:cs="Times New Roman"/>
                <w:lang w:val="mk-MK"/>
              </w:rPr>
              <w:t>,</w:t>
            </w:r>
            <w:r>
              <w:rPr>
                <w:rFonts w:ascii="Times New Roman" w:hAnsi="Times New Roman" w:cs="Times New Roman"/>
              </w:rPr>
              <w:t>67</w:t>
            </w:r>
          </w:p>
        </w:tc>
        <w:tc>
          <w:tcPr>
            <w:tcW w:w="1296" w:type="dxa"/>
          </w:tcPr>
          <w:p w14:paraId="427C0666" w14:textId="77777777" w:rsidR="00FE200F" w:rsidRDefault="00E77CAF">
            <w:pPr>
              <w:jc w:val="center"/>
              <w:rPr>
                <w:rFonts w:ascii="Times New Roman" w:hAnsi="Times New Roman" w:cs="Times New Roman"/>
              </w:rPr>
            </w:pPr>
            <w:r>
              <w:rPr>
                <w:rFonts w:ascii="Times New Roman" w:hAnsi="Times New Roman" w:cs="Times New Roman"/>
              </w:rPr>
              <w:t>29</w:t>
            </w:r>
            <w:r>
              <w:rPr>
                <w:rFonts w:ascii="Times New Roman" w:hAnsi="Times New Roman" w:cs="Times New Roman"/>
                <w:lang w:val="mk-MK"/>
              </w:rPr>
              <w:t>,</w:t>
            </w:r>
            <w:r>
              <w:rPr>
                <w:rFonts w:ascii="Times New Roman" w:hAnsi="Times New Roman" w:cs="Times New Roman"/>
              </w:rPr>
              <w:t>92</w:t>
            </w:r>
          </w:p>
        </w:tc>
      </w:tr>
      <w:tr w:rsidR="00FE200F" w14:paraId="4968C5D3" w14:textId="77777777">
        <w:tc>
          <w:tcPr>
            <w:tcW w:w="1726" w:type="dxa"/>
          </w:tcPr>
          <w:p w14:paraId="5D4B297E" w14:textId="77777777" w:rsidR="00FE200F" w:rsidRDefault="00E77CAF">
            <w:pPr>
              <w:rPr>
                <w:rFonts w:ascii="Times New Roman" w:hAnsi="Times New Roman" w:cs="Times New Roman"/>
              </w:rPr>
            </w:pPr>
            <w:r>
              <w:rPr>
                <w:rFonts w:ascii="Times New Roman" w:hAnsi="Times New Roman" w:cs="Times New Roman"/>
              </w:rPr>
              <w:t>Албанија</w:t>
            </w:r>
          </w:p>
        </w:tc>
        <w:tc>
          <w:tcPr>
            <w:tcW w:w="1235" w:type="dxa"/>
          </w:tcPr>
          <w:p w14:paraId="2783BECF" w14:textId="77777777" w:rsidR="00FE200F" w:rsidRDefault="00E77CAF">
            <w:pPr>
              <w:jc w:val="center"/>
              <w:rPr>
                <w:rFonts w:ascii="Times New Roman" w:hAnsi="Times New Roman" w:cs="Times New Roman"/>
              </w:rPr>
            </w:pPr>
            <w:r>
              <w:rPr>
                <w:rFonts w:ascii="Times New Roman" w:hAnsi="Times New Roman" w:cs="Times New Roman"/>
              </w:rPr>
              <w:t>85</w:t>
            </w:r>
          </w:p>
        </w:tc>
        <w:tc>
          <w:tcPr>
            <w:tcW w:w="1298" w:type="dxa"/>
          </w:tcPr>
          <w:p w14:paraId="043BE498" w14:textId="77777777" w:rsidR="00FE200F" w:rsidRDefault="00E77CAF">
            <w:pPr>
              <w:jc w:val="center"/>
              <w:rPr>
                <w:rFonts w:ascii="Times New Roman" w:hAnsi="Times New Roman" w:cs="Times New Roman"/>
              </w:rPr>
            </w:pPr>
            <w:r>
              <w:rPr>
                <w:rFonts w:ascii="Times New Roman" w:hAnsi="Times New Roman" w:cs="Times New Roman"/>
              </w:rPr>
              <w:t>23</w:t>
            </w:r>
            <w:r>
              <w:rPr>
                <w:rFonts w:ascii="Times New Roman" w:hAnsi="Times New Roman" w:cs="Times New Roman"/>
                <w:lang w:val="mk-MK"/>
              </w:rPr>
              <w:t>,</w:t>
            </w:r>
            <w:r>
              <w:rPr>
                <w:rFonts w:ascii="Times New Roman" w:hAnsi="Times New Roman" w:cs="Times New Roman"/>
              </w:rPr>
              <w:t>00</w:t>
            </w:r>
          </w:p>
        </w:tc>
        <w:tc>
          <w:tcPr>
            <w:tcW w:w="1294" w:type="dxa"/>
          </w:tcPr>
          <w:p w14:paraId="08BD4316" w14:textId="77777777" w:rsidR="00FE200F" w:rsidRDefault="00E77CAF">
            <w:pPr>
              <w:jc w:val="center"/>
              <w:rPr>
                <w:rFonts w:ascii="Times New Roman" w:hAnsi="Times New Roman" w:cs="Times New Roman"/>
              </w:rPr>
            </w:pPr>
            <w:r>
              <w:rPr>
                <w:rFonts w:ascii="Times New Roman" w:hAnsi="Times New Roman" w:cs="Times New Roman"/>
              </w:rPr>
              <w:t>51</w:t>
            </w:r>
            <w:r>
              <w:rPr>
                <w:rFonts w:ascii="Times New Roman" w:hAnsi="Times New Roman" w:cs="Times New Roman"/>
                <w:lang w:val="mk-MK"/>
              </w:rPr>
              <w:t>,</w:t>
            </w:r>
            <w:r>
              <w:rPr>
                <w:rFonts w:ascii="Times New Roman" w:hAnsi="Times New Roman" w:cs="Times New Roman"/>
              </w:rPr>
              <w:t>21</w:t>
            </w:r>
          </w:p>
        </w:tc>
        <w:tc>
          <w:tcPr>
            <w:tcW w:w="1299" w:type="dxa"/>
          </w:tcPr>
          <w:p w14:paraId="5FC34861" w14:textId="77777777" w:rsidR="00FE200F" w:rsidRDefault="00E77CAF">
            <w:pPr>
              <w:jc w:val="center"/>
              <w:rPr>
                <w:rFonts w:ascii="Times New Roman" w:hAnsi="Times New Roman" w:cs="Times New Roman"/>
              </w:rPr>
            </w:pPr>
            <w:r>
              <w:rPr>
                <w:rFonts w:ascii="Times New Roman" w:hAnsi="Times New Roman" w:cs="Times New Roman"/>
              </w:rPr>
              <w:t>51</w:t>
            </w:r>
            <w:r>
              <w:rPr>
                <w:rFonts w:ascii="Times New Roman" w:hAnsi="Times New Roman" w:cs="Times New Roman"/>
                <w:lang w:val="mk-MK"/>
              </w:rPr>
              <w:t>,</w:t>
            </w:r>
            <w:r>
              <w:rPr>
                <w:rFonts w:ascii="Times New Roman" w:hAnsi="Times New Roman" w:cs="Times New Roman"/>
              </w:rPr>
              <w:t>67</w:t>
            </w:r>
          </w:p>
        </w:tc>
        <w:tc>
          <w:tcPr>
            <w:tcW w:w="1293" w:type="dxa"/>
          </w:tcPr>
          <w:p w14:paraId="61BCA394" w14:textId="77777777" w:rsidR="00FE200F" w:rsidRDefault="00E77CAF">
            <w:pPr>
              <w:jc w:val="center"/>
              <w:rPr>
                <w:rFonts w:ascii="Times New Roman" w:hAnsi="Times New Roman" w:cs="Times New Roman"/>
              </w:rPr>
            </w:pPr>
            <w:r>
              <w:rPr>
                <w:rFonts w:ascii="Times New Roman" w:hAnsi="Times New Roman" w:cs="Times New Roman"/>
              </w:rPr>
              <w:t>68</w:t>
            </w:r>
            <w:r>
              <w:rPr>
                <w:rFonts w:ascii="Times New Roman" w:hAnsi="Times New Roman" w:cs="Times New Roman"/>
                <w:lang w:val="mk-MK"/>
              </w:rPr>
              <w:t>,</w:t>
            </w:r>
            <w:r>
              <w:rPr>
                <w:rFonts w:ascii="Times New Roman" w:hAnsi="Times New Roman" w:cs="Times New Roman"/>
              </w:rPr>
              <w:t>95</w:t>
            </w:r>
          </w:p>
        </w:tc>
        <w:tc>
          <w:tcPr>
            <w:tcW w:w="1296" w:type="dxa"/>
          </w:tcPr>
          <w:p w14:paraId="1CDC45A6" w14:textId="77777777" w:rsidR="00FE200F" w:rsidRDefault="00E77CAF">
            <w:pPr>
              <w:jc w:val="center"/>
              <w:rPr>
                <w:rFonts w:ascii="Times New Roman" w:hAnsi="Times New Roman" w:cs="Times New Roman"/>
              </w:rPr>
            </w:pPr>
            <w:r>
              <w:rPr>
                <w:rFonts w:ascii="Times New Roman" w:hAnsi="Times New Roman" w:cs="Times New Roman"/>
              </w:rPr>
              <w:t>24</w:t>
            </w:r>
            <w:r>
              <w:rPr>
                <w:rFonts w:ascii="Times New Roman" w:hAnsi="Times New Roman" w:cs="Times New Roman"/>
                <w:lang w:val="mk-MK"/>
              </w:rPr>
              <w:t>,</w:t>
            </w:r>
            <w:r>
              <w:rPr>
                <w:rFonts w:ascii="Times New Roman" w:hAnsi="Times New Roman" w:cs="Times New Roman"/>
              </w:rPr>
              <w:t>35</w:t>
            </w:r>
          </w:p>
        </w:tc>
      </w:tr>
      <w:tr w:rsidR="00FE200F" w14:paraId="5D73030C" w14:textId="77777777">
        <w:tc>
          <w:tcPr>
            <w:tcW w:w="1726" w:type="dxa"/>
            <w:shd w:val="clear" w:color="auto" w:fill="FFF2CC"/>
          </w:tcPr>
          <w:p w14:paraId="537A054B" w14:textId="77777777" w:rsidR="00FE200F" w:rsidRDefault="00E77CAF">
            <w:pPr>
              <w:rPr>
                <w:rFonts w:ascii="Times New Roman" w:hAnsi="Times New Roman" w:cs="Times New Roman"/>
              </w:rPr>
            </w:pPr>
            <w:r>
              <w:rPr>
                <w:rFonts w:ascii="Times New Roman" w:hAnsi="Times New Roman" w:cs="Times New Roman"/>
                <w:b/>
              </w:rPr>
              <w:t>С. Македонија</w:t>
            </w:r>
          </w:p>
        </w:tc>
        <w:tc>
          <w:tcPr>
            <w:tcW w:w="1235" w:type="dxa"/>
            <w:shd w:val="clear" w:color="auto" w:fill="FFF2CC"/>
          </w:tcPr>
          <w:p w14:paraId="0B29FFB1" w14:textId="77777777" w:rsidR="00FE200F" w:rsidRDefault="00E77CAF">
            <w:pPr>
              <w:jc w:val="center"/>
              <w:rPr>
                <w:rFonts w:ascii="Times New Roman" w:hAnsi="Times New Roman" w:cs="Times New Roman"/>
              </w:rPr>
            </w:pPr>
            <w:r>
              <w:rPr>
                <w:rFonts w:ascii="Times New Roman" w:hAnsi="Times New Roman" w:cs="Times New Roman"/>
                <w:b/>
              </w:rPr>
              <w:t>107</w:t>
            </w:r>
          </w:p>
        </w:tc>
        <w:tc>
          <w:tcPr>
            <w:tcW w:w="1298" w:type="dxa"/>
            <w:shd w:val="clear" w:color="auto" w:fill="FFF2CC"/>
          </w:tcPr>
          <w:p w14:paraId="6542DCED" w14:textId="77777777" w:rsidR="00FE200F" w:rsidRDefault="00E77CAF">
            <w:pPr>
              <w:jc w:val="center"/>
              <w:rPr>
                <w:rFonts w:ascii="Times New Roman" w:hAnsi="Times New Roman" w:cs="Times New Roman"/>
              </w:rPr>
            </w:pPr>
            <w:r>
              <w:rPr>
                <w:rFonts w:ascii="Times New Roman" w:hAnsi="Times New Roman" w:cs="Times New Roman"/>
                <w:b/>
              </w:rPr>
              <w:t>34</w:t>
            </w:r>
            <w:r>
              <w:rPr>
                <w:rFonts w:ascii="Times New Roman" w:hAnsi="Times New Roman" w:cs="Times New Roman"/>
                <w:b/>
                <w:lang w:val="mk-MK"/>
              </w:rPr>
              <w:t>,</w:t>
            </w:r>
            <w:r>
              <w:rPr>
                <w:rFonts w:ascii="Times New Roman" w:hAnsi="Times New Roman" w:cs="Times New Roman"/>
                <w:b/>
              </w:rPr>
              <w:t>50</w:t>
            </w:r>
          </w:p>
        </w:tc>
        <w:tc>
          <w:tcPr>
            <w:tcW w:w="1294" w:type="dxa"/>
            <w:shd w:val="clear" w:color="auto" w:fill="FFF2CC"/>
          </w:tcPr>
          <w:p w14:paraId="51224FB5" w14:textId="77777777" w:rsidR="00FE200F" w:rsidRDefault="00E77CAF">
            <w:pPr>
              <w:jc w:val="center"/>
              <w:rPr>
                <w:rFonts w:ascii="Times New Roman" w:hAnsi="Times New Roman" w:cs="Times New Roman"/>
              </w:rPr>
            </w:pPr>
            <w:r>
              <w:rPr>
                <w:rFonts w:ascii="Times New Roman" w:hAnsi="Times New Roman" w:cs="Times New Roman"/>
                <w:b/>
              </w:rPr>
              <w:t>41</w:t>
            </w:r>
            <w:r>
              <w:rPr>
                <w:rFonts w:ascii="Times New Roman" w:hAnsi="Times New Roman" w:cs="Times New Roman"/>
                <w:b/>
                <w:lang w:val="mk-MK"/>
              </w:rPr>
              <w:t>,</w:t>
            </w:r>
            <w:r>
              <w:rPr>
                <w:rFonts w:ascii="Times New Roman" w:hAnsi="Times New Roman" w:cs="Times New Roman"/>
                <w:b/>
              </w:rPr>
              <w:t>12</w:t>
            </w:r>
          </w:p>
        </w:tc>
        <w:tc>
          <w:tcPr>
            <w:tcW w:w="1299" w:type="dxa"/>
            <w:shd w:val="clear" w:color="auto" w:fill="FFF2CC"/>
          </w:tcPr>
          <w:p w14:paraId="2C58A3E7" w14:textId="77777777" w:rsidR="00FE200F" w:rsidRDefault="00E77CAF">
            <w:pPr>
              <w:jc w:val="center"/>
              <w:rPr>
                <w:rFonts w:ascii="Times New Roman" w:hAnsi="Times New Roman" w:cs="Times New Roman"/>
              </w:rPr>
            </w:pPr>
            <w:r>
              <w:rPr>
                <w:rFonts w:ascii="Times New Roman" w:hAnsi="Times New Roman" w:cs="Times New Roman"/>
                <w:b/>
              </w:rPr>
              <w:t>45</w:t>
            </w:r>
            <w:r>
              <w:rPr>
                <w:rFonts w:ascii="Times New Roman" w:hAnsi="Times New Roman" w:cs="Times New Roman"/>
                <w:b/>
                <w:lang w:val="mk-MK"/>
              </w:rPr>
              <w:t>,</w:t>
            </w:r>
            <w:r>
              <w:rPr>
                <w:rFonts w:ascii="Times New Roman" w:hAnsi="Times New Roman" w:cs="Times New Roman"/>
                <w:b/>
              </w:rPr>
              <w:t>00</w:t>
            </w:r>
          </w:p>
        </w:tc>
        <w:tc>
          <w:tcPr>
            <w:tcW w:w="1293" w:type="dxa"/>
            <w:shd w:val="clear" w:color="auto" w:fill="FFF2CC"/>
          </w:tcPr>
          <w:p w14:paraId="5F94A3E4" w14:textId="77777777" w:rsidR="00FE200F" w:rsidRDefault="00E77CAF">
            <w:pPr>
              <w:jc w:val="center"/>
              <w:rPr>
                <w:rFonts w:ascii="Times New Roman" w:hAnsi="Times New Roman" w:cs="Times New Roman"/>
              </w:rPr>
            </w:pPr>
            <w:r>
              <w:rPr>
                <w:rFonts w:ascii="Times New Roman" w:hAnsi="Times New Roman" w:cs="Times New Roman"/>
                <w:b/>
              </w:rPr>
              <w:t>46</w:t>
            </w:r>
            <w:r>
              <w:rPr>
                <w:rFonts w:ascii="Times New Roman" w:hAnsi="Times New Roman" w:cs="Times New Roman"/>
                <w:b/>
                <w:lang w:val="mk-MK"/>
              </w:rPr>
              <w:t>,</w:t>
            </w:r>
            <w:r>
              <w:rPr>
                <w:rFonts w:ascii="Times New Roman" w:hAnsi="Times New Roman" w:cs="Times New Roman"/>
                <w:b/>
              </w:rPr>
              <w:t>55</w:t>
            </w:r>
          </w:p>
        </w:tc>
        <w:tc>
          <w:tcPr>
            <w:tcW w:w="1296" w:type="dxa"/>
            <w:shd w:val="clear" w:color="auto" w:fill="FFF2CC"/>
          </w:tcPr>
          <w:p w14:paraId="64604CE6" w14:textId="77777777" w:rsidR="00FE200F" w:rsidRDefault="00E77CAF">
            <w:pPr>
              <w:jc w:val="center"/>
              <w:rPr>
                <w:rFonts w:ascii="Times New Roman" w:hAnsi="Times New Roman" w:cs="Times New Roman"/>
              </w:rPr>
            </w:pPr>
            <w:r>
              <w:rPr>
                <w:rFonts w:ascii="Times New Roman" w:hAnsi="Times New Roman" w:cs="Times New Roman"/>
                <w:b/>
              </w:rPr>
              <w:t>24</w:t>
            </w:r>
            <w:r>
              <w:rPr>
                <w:rFonts w:ascii="Times New Roman" w:hAnsi="Times New Roman" w:cs="Times New Roman"/>
                <w:b/>
                <w:lang w:val="mk-MK"/>
              </w:rPr>
              <w:t>,</w:t>
            </w:r>
            <w:r>
              <w:rPr>
                <w:rFonts w:ascii="Times New Roman" w:hAnsi="Times New Roman" w:cs="Times New Roman"/>
                <w:b/>
              </w:rPr>
              <w:t>85</w:t>
            </w:r>
          </w:p>
        </w:tc>
      </w:tr>
      <w:tr w:rsidR="00FE200F" w14:paraId="5DE23555" w14:textId="77777777">
        <w:tc>
          <w:tcPr>
            <w:tcW w:w="1726" w:type="dxa"/>
          </w:tcPr>
          <w:p w14:paraId="2048C7FE" w14:textId="77777777" w:rsidR="00FE200F" w:rsidRDefault="00E77CAF">
            <w:pPr>
              <w:rPr>
                <w:rFonts w:ascii="Times New Roman" w:hAnsi="Times New Roman" w:cs="Times New Roman"/>
              </w:rPr>
            </w:pPr>
            <w:r>
              <w:rPr>
                <w:rFonts w:ascii="Times New Roman" w:hAnsi="Times New Roman" w:cs="Times New Roman"/>
              </w:rPr>
              <w:t>БиХ</w:t>
            </w:r>
          </w:p>
        </w:tc>
        <w:tc>
          <w:tcPr>
            <w:tcW w:w="1235" w:type="dxa"/>
          </w:tcPr>
          <w:p w14:paraId="232D0C94" w14:textId="77777777" w:rsidR="00FE200F" w:rsidRDefault="00E77CAF">
            <w:pPr>
              <w:jc w:val="center"/>
              <w:rPr>
                <w:rFonts w:ascii="Times New Roman" w:hAnsi="Times New Roman" w:cs="Times New Roman"/>
              </w:rPr>
            </w:pPr>
            <w:r>
              <w:rPr>
                <w:rFonts w:ascii="Times New Roman" w:hAnsi="Times New Roman" w:cs="Times New Roman"/>
              </w:rPr>
              <w:t>114</w:t>
            </w:r>
          </w:p>
        </w:tc>
        <w:tc>
          <w:tcPr>
            <w:tcW w:w="1298" w:type="dxa"/>
          </w:tcPr>
          <w:p w14:paraId="1248512D" w14:textId="77777777" w:rsidR="00FE200F" w:rsidRDefault="00E77CAF">
            <w:pPr>
              <w:jc w:val="center"/>
              <w:rPr>
                <w:rFonts w:ascii="Times New Roman" w:hAnsi="Times New Roman" w:cs="Times New Roman"/>
              </w:rPr>
            </w:pPr>
            <w:r>
              <w:rPr>
                <w:rFonts w:ascii="Times New Roman" w:hAnsi="Times New Roman" w:cs="Times New Roman"/>
              </w:rPr>
              <w:t>19</w:t>
            </w:r>
            <w:r>
              <w:rPr>
                <w:rFonts w:ascii="Times New Roman" w:hAnsi="Times New Roman" w:cs="Times New Roman"/>
                <w:lang w:val="mk-MK"/>
              </w:rPr>
              <w:t>,</w:t>
            </w:r>
            <w:r>
              <w:rPr>
                <w:rFonts w:ascii="Times New Roman" w:hAnsi="Times New Roman" w:cs="Times New Roman"/>
              </w:rPr>
              <w:t>00</w:t>
            </w:r>
          </w:p>
        </w:tc>
        <w:tc>
          <w:tcPr>
            <w:tcW w:w="1294" w:type="dxa"/>
          </w:tcPr>
          <w:p w14:paraId="7B5EE2CB" w14:textId="77777777" w:rsidR="00FE200F" w:rsidRDefault="00E77CAF">
            <w:pPr>
              <w:jc w:val="center"/>
              <w:rPr>
                <w:rFonts w:ascii="Times New Roman" w:hAnsi="Times New Roman" w:cs="Times New Roman"/>
              </w:rPr>
            </w:pPr>
            <w:r>
              <w:rPr>
                <w:rFonts w:ascii="Times New Roman" w:hAnsi="Times New Roman" w:cs="Times New Roman"/>
              </w:rPr>
              <w:t>43</w:t>
            </w:r>
            <w:r>
              <w:rPr>
                <w:rFonts w:ascii="Times New Roman" w:hAnsi="Times New Roman" w:cs="Times New Roman"/>
                <w:lang w:val="mk-MK"/>
              </w:rPr>
              <w:t>,</w:t>
            </w:r>
            <w:r>
              <w:rPr>
                <w:rFonts w:ascii="Times New Roman" w:hAnsi="Times New Roman" w:cs="Times New Roman"/>
              </w:rPr>
              <w:t>26</w:t>
            </w:r>
          </w:p>
        </w:tc>
        <w:tc>
          <w:tcPr>
            <w:tcW w:w="1299" w:type="dxa"/>
          </w:tcPr>
          <w:p w14:paraId="022F6F79" w14:textId="77777777" w:rsidR="00FE200F" w:rsidRDefault="00E77CAF">
            <w:pPr>
              <w:jc w:val="center"/>
              <w:rPr>
                <w:rFonts w:ascii="Times New Roman" w:hAnsi="Times New Roman" w:cs="Times New Roman"/>
              </w:rPr>
            </w:pPr>
            <w:r>
              <w:rPr>
                <w:rFonts w:ascii="Times New Roman" w:hAnsi="Times New Roman" w:cs="Times New Roman"/>
              </w:rPr>
              <w:t>51</w:t>
            </w:r>
            <w:r>
              <w:rPr>
                <w:rFonts w:ascii="Times New Roman" w:hAnsi="Times New Roman" w:cs="Times New Roman"/>
                <w:lang w:val="mk-MK"/>
              </w:rPr>
              <w:t>,</w:t>
            </w:r>
            <w:r>
              <w:rPr>
                <w:rFonts w:ascii="Times New Roman" w:hAnsi="Times New Roman" w:cs="Times New Roman"/>
              </w:rPr>
              <w:t>02</w:t>
            </w:r>
          </w:p>
        </w:tc>
        <w:tc>
          <w:tcPr>
            <w:tcW w:w="1293" w:type="dxa"/>
          </w:tcPr>
          <w:p w14:paraId="70D433D2" w14:textId="77777777" w:rsidR="00FE200F" w:rsidRDefault="00E77CAF">
            <w:pPr>
              <w:jc w:val="center"/>
              <w:rPr>
                <w:rFonts w:ascii="Times New Roman" w:hAnsi="Times New Roman" w:cs="Times New Roman"/>
              </w:rPr>
            </w:pPr>
            <w:r>
              <w:rPr>
                <w:rFonts w:ascii="Times New Roman" w:hAnsi="Times New Roman" w:cs="Times New Roman"/>
              </w:rPr>
              <w:t>51</w:t>
            </w:r>
            <w:r>
              <w:rPr>
                <w:rFonts w:ascii="Times New Roman" w:hAnsi="Times New Roman" w:cs="Times New Roman"/>
                <w:lang w:val="mk-MK"/>
              </w:rPr>
              <w:t>,</w:t>
            </w:r>
            <w:r>
              <w:rPr>
                <w:rFonts w:ascii="Times New Roman" w:hAnsi="Times New Roman" w:cs="Times New Roman"/>
              </w:rPr>
              <w:t>83</w:t>
            </w:r>
          </w:p>
        </w:tc>
        <w:tc>
          <w:tcPr>
            <w:tcW w:w="1296" w:type="dxa"/>
          </w:tcPr>
          <w:p w14:paraId="17D4E858" w14:textId="77777777" w:rsidR="00FE200F" w:rsidRDefault="00E77CAF">
            <w:pPr>
              <w:jc w:val="center"/>
              <w:rPr>
                <w:rFonts w:ascii="Times New Roman" w:hAnsi="Times New Roman" w:cs="Times New Roman"/>
              </w:rPr>
            </w:pPr>
            <w:r>
              <w:rPr>
                <w:rFonts w:ascii="Times New Roman" w:hAnsi="Times New Roman" w:cs="Times New Roman"/>
              </w:rPr>
              <w:t>19</w:t>
            </w:r>
            <w:r>
              <w:rPr>
                <w:rFonts w:ascii="Times New Roman" w:hAnsi="Times New Roman" w:cs="Times New Roman"/>
                <w:lang w:val="mk-MK"/>
              </w:rPr>
              <w:t>,</w:t>
            </w:r>
            <w:r>
              <w:rPr>
                <w:rFonts w:ascii="Times New Roman" w:hAnsi="Times New Roman" w:cs="Times New Roman"/>
              </w:rPr>
              <w:t>43</w:t>
            </w:r>
          </w:p>
        </w:tc>
      </w:tr>
    </w:tbl>
    <w:p w14:paraId="4A24F504" w14:textId="77777777" w:rsidR="00FE200F" w:rsidRDefault="00E77CAF">
      <w:pPr>
        <w:jc w:val="both"/>
        <w:rPr>
          <w:rFonts w:ascii="Times New Roman" w:hAnsi="Times New Roman" w:cs="Times New Roman"/>
        </w:rPr>
      </w:pPr>
      <w:r>
        <w:rPr>
          <w:rFonts w:ascii="Times New Roman" w:hAnsi="Times New Roman" w:cs="Times New Roman"/>
          <w:i/>
        </w:rPr>
        <w:t>Табела 2: Oxford Insights GARI 2025 – Регионална споредба (Западен Балкан + Хрватска)</w:t>
      </w:r>
    </w:p>
    <w:p w14:paraId="06D86CF4" w14:textId="77777777" w:rsidR="00FE200F" w:rsidRDefault="00E77CAF">
      <w:pPr>
        <w:jc w:val="both"/>
        <w:rPr>
          <w:rFonts w:ascii="Times New Roman" w:hAnsi="Times New Roman" w:cs="Times New Roman"/>
          <w:i/>
          <w:lang w:val="mk-MK"/>
        </w:rPr>
      </w:pPr>
      <w:r>
        <w:rPr>
          <w:rFonts w:ascii="Times New Roman" w:hAnsi="Times New Roman" w:cs="Times New Roman"/>
          <w:i/>
        </w:rPr>
        <w:t xml:space="preserve">Извор: </w:t>
      </w:r>
      <w:r>
        <w:rPr>
          <w:rFonts w:ascii="Times New Roman" w:hAnsi="Times New Roman" w:cs="Times New Roman"/>
          <w:i/>
        </w:rPr>
        <w:t>Oxford Insights Government AI Readiness Index 2025. Напомена: Косово не е вклучено во индексот.</w:t>
      </w:r>
    </w:p>
    <w:p w14:paraId="37D87F98" w14:textId="77777777" w:rsidR="00FE200F" w:rsidRDefault="00FE200F">
      <w:pPr>
        <w:jc w:val="both"/>
        <w:rPr>
          <w:rFonts w:ascii="Times New Roman" w:hAnsi="Times New Roman" w:cs="Times New Roman"/>
          <w:lang w:val="mk-MK"/>
        </w:rPr>
      </w:pPr>
    </w:p>
    <w:p w14:paraId="07A3B17B" w14:textId="77777777" w:rsidR="00FE200F" w:rsidRDefault="00E77CAF">
      <w:pPr>
        <w:pStyle w:val="Heading1"/>
        <w:rPr>
          <w:rFonts w:ascii="Times New Roman" w:hAnsi="Times New Roman" w:cs="Times New Roman"/>
          <w:color w:val="auto"/>
          <w:sz w:val="22"/>
          <w:szCs w:val="22"/>
        </w:rPr>
      </w:pPr>
      <w:bookmarkStart w:id="161" w:name="_Toc240630106"/>
      <w:bookmarkStart w:id="162" w:name="_Toc243908049"/>
      <w:r>
        <w:rPr>
          <w:rFonts w:ascii="Times New Roman" w:hAnsi="Times New Roman" w:cs="Times New Roman"/>
          <w:color w:val="auto"/>
          <w:sz w:val="22"/>
          <w:szCs w:val="22"/>
          <w:lang w:val="mk-MK"/>
        </w:rPr>
        <w:t>11</w:t>
      </w:r>
      <w:r>
        <w:rPr>
          <w:rFonts w:ascii="Times New Roman" w:hAnsi="Times New Roman" w:cs="Times New Roman"/>
          <w:color w:val="auto"/>
          <w:sz w:val="22"/>
          <w:szCs w:val="22"/>
        </w:rPr>
        <w:t>. ИНДИКАТИВЕН ФИНАНСИСКИ ПЛАН</w:t>
      </w:r>
      <w:bookmarkEnd w:id="161"/>
      <w:bookmarkEnd w:id="162"/>
    </w:p>
    <w:p w14:paraId="2DDC6532" w14:textId="77777777" w:rsidR="00FE200F" w:rsidRDefault="00E77CAF">
      <w:pPr>
        <w:spacing w:after="100" w:line="252" w:lineRule="auto"/>
        <w:jc w:val="both"/>
        <w:rPr>
          <w:rFonts w:ascii="Times New Roman" w:eastAsia="Arial" w:hAnsi="Times New Roman" w:cs="Times New Roman"/>
          <w:lang w:val="mk-MK"/>
        </w:rPr>
      </w:pPr>
      <w:r>
        <w:rPr>
          <w:rFonts w:ascii="Times New Roman" w:eastAsia="Arial" w:hAnsi="Times New Roman" w:cs="Times New Roman"/>
        </w:rPr>
        <w:t>Финансирањето на активностите предвидени во Акцискиот план (2027–2029) е индикативно распределено меѓу Буџетот на РСМ, ИПА III,</w:t>
      </w:r>
      <w:r>
        <w:rPr>
          <w:rFonts w:ascii="Times New Roman" w:eastAsia="Arial" w:hAnsi="Times New Roman" w:cs="Times New Roman"/>
        </w:rPr>
        <w:t xml:space="preserve"> ИНОВА, програмите Horizon Europe и EuroHPC, како и други надворешни извори. Распределбата во Табела 4 е работна основа за подготовка на Образецот за проценка на финансиски импликации (ОПФИ) и не претставува потврдена обврска за финансирање.</w:t>
      </w:r>
    </w:p>
    <w:p w14:paraId="7B22FAC3" w14:textId="77777777" w:rsidR="00FE200F" w:rsidRDefault="00FE200F">
      <w:pPr>
        <w:spacing w:after="100" w:line="252" w:lineRule="auto"/>
        <w:jc w:val="both"/>
        <w:rPr>
          <w:rFonts w:ascii="Times New Roman" w:hAnsi="Times New Roman" w:cs="Times New Roman"/>
          <w:lang w:val="mk-MK"/>
        </w:rPr>
      </w:pPr>
    </w:p>
    <w:tbl>
      <w:tblPr>
        <w:tblStyle w:val="TableGrid"/>
        <w:tblW w:w="9648" w:type="dxa"/>
        <w:tblLayout w:type="fixed"/>
        <w:tblLook w:val="04A0" w:firstRow="1" w:lastRow="0" w:firstColumn="1" w:lastColumn="0" w:noHBand="0" w:noVBand="1"/>
      </w:tblPr>
      <w:tblGrid>
        <w:gridCol w:w="2162"/>
        <w:gridCol w:w="2160"/>
        <w:gridCol w:w="2158"/>
        <w:gridCol w:w="3168"/>
      </w:tblGrid>
      <w:tr w:rsidR="00FE200F" w14:paraId="3B305EB5" w14:textId="77777777">
        <w:tc>
          <w:tcPr>
            <w:tcW w:w="2161" w:type="dxa"/>
            <w:shd w:val="clear" w:color="auto" w:fill="003366"/>
          </w:tcPr>
          <w:p w14:paraId="07FB159C" w14:textId="77777777" w:rsidR="00FE200F" w:rsidRDefault="00E77CAF">
            <w:pPr>
              <w:jc w:val="center"/>
              <w:rPr>
                <w:rFonts w:ascii="Times New Roman" w:hAnsi="Times New Roman" w:cs="Times New Roman"/>
                <w:color w:val="FFFFFF" w:themeColor="background1"/>
              </w:rPr>
            </w:pPr>
            <w:r>
              <w:rPr>
                <w:rFonts w:ascii="Times New Roman" w:hAnsi="Times New Roman" w:cs="Times New Roman"/>
                <w:b/>
                <w:color w:val="FFFFFF" w:themeColor="background1"/>
              </w:rPr>
              <w:t>Приоритетна о</w:t>
            </w:r>
            <w:r>
              <w:rPr>
                <w:rFonts w:ascii="Times New Roman" w:hAnsi="Times New Roman" w:cs="Times New Roman"/>
                <w:b/>
                <w:color w:val="FFFFFF" w:themeColor="background1"/>
              </w:rPr>
              <w:t>бласт</w:t>
            </w:r>
          </w:p>
        </w:tc>
        <w:tc>
          <w:tcPr>
            <w:tcW w:w="2160" w:type="dxa"/>
            <w:shd w:val="clear" w:color="auto" w:fill="003366"/>
          </w:tcPr>
          <w:p w14:paraId="4678C46F" w14:textId="77777777" w:rsidR="00FE200F" w:rsidRDefault="00E77CAF">
            <w:pPr>
              <w:jc w:val="center"/>
              <w:rPr>
                <w:rFonts w:ascii="Times New Roman" w:hAnsi="Times New Roman" w:cs="Times New Roman"/>
                <w:color w:val="FFFFFF" w:themeColor="background1"/>
              </w:rPr>
            </w:pPr>
            <w:r>
              <w:rPr>
                <w:rFonts w:ascii="Times New Roman" w:hAnsi="Times New Roman" w:cs="Times New Roman"/>
                <w:b/>
                <w:color w:val="FFFFFF" w:themeColor="background1"/>
              </w:rPr>
              <w:t>Проценет буџет (EUR)</w:t>
            </w:r>
          </w:p>
        </w:tc>
        <w:tc>
          <w:tcPr>
            <w:tcW w:w="2158" w:type="dxa"/>
            <w:shd w:val="clear" w:color="auto" w:fill="003366"/>
          </w:tcPr>
          <w:p w14:paraId="2214AA19" w14:textId="77777777" w:rsidR="00FE200F" w:rsidRDefault="00E77CAF">
            <w:pPr>
              <w:jc w:val="center"/>
              <w:rPr>
                <w:rFonts w:ascii="Times New Roman" w:hAnsi="Times New Roman" w:cs="Times New Roman"/>
                <w:color w:val="FFFFFF" w:themeColor="background1"/>
              </w:rPr>
            </w:pPr>
            <w:r>
              <w:rPr>
                <w:rFonts w:ascii="Times New Roman" w:hAnsi="Times New Roman" w:cs="Times New Roman"/>
                <w:b/>
                <w:color w:val="FFFFFF" w:themeColor="background1"/>
              </w:rPr>
              <w:t>Главен извор</w:t>
            </w:r>
          </w:p>
        </w:tc>
        <w:tc>
          <w:tcPr>
            <w:tcW w:w="3168" w:type="dxa"/>
            <w:shd w:val="clear" w:color="auto" w:fill="003366"/>
          </w:tcPr>
          <w:p w14:paraId="0DCE3769" w14:textId="77777777" w:rsidR="00FE200F" w:rsidRDefault="00E77CAF">
            <w:pPr>
              <w:jc w:val="center"/>
              <w:rPr>
                <w:rFonts w:ascii="Times New Roman" w:hAnsi="Times New Roman" w:cs="Times New Roman"/>
                <w:color w:val="FFFFFF" w:themeColor="background1"/>
              </w:rPr>
            </w:pPr>
            <w:r>
              <w:rPr>
                <w:rFonts w:ascii="Times New Roman" w:hAnsi="Times New Roman" w:cs="Times New Roman"/>
                <w:b/>
                <w:color w:val="FFFFFF" w:themeColor="background1"/>
              </w:rPr>
              <w:t>Клучни активности</w:t>
            </w:r>
          </w:p>
        </w:tc>
      </w:tr>
      <w:tr w:rsidR="00FE200F" w14:paraId="1709E015" w14:textId="77777777">
        <w:tc>
          <w:tcPr>
            <w:tcW w:w="2161" w:type="dxa"/>
          </w:tcPr>
          <w:p w14:paraId="49AE1BFF" w14:textId="77777777" w:rsidR="00FE200F" w:rsidRDefault="00E77CAF">
            <w:pPr>
              <w:rPr>
                <w:rFonts w:ascii="Times New Roman" w:hAnsi="Times New Roman" w:cs="Times New Roman"/>
              </w:rPr>
            </w:pPr>
            <w:r>
              <w:rPr>
                <w:rFonts w:ascii="Times New Roman" w:hAnsi="Times New Roman" w:cs="Times New Roman"/>
              </w:rPr>
              <w:t>Приоритетна област 1: Јавен сектор</w:t>
            </w:r>
          </w:p>
        </w:tc>
        <w:tc>
          <w:tcPr>
            <w:tcW w:w="2160" w:type="dxa"/>
            <w:tcMar>
              <w:top w:w="40" w:type="dxa"/>
              <w:left w:w="50" w:type="dxa"/>
              <w:bottom w:w="40" w:type="dxa"/>
              <w:right w:w="50" w:type="dxa"/>
            </w:tcMar>
            <w:vAlign w:val="center"/>
          </w:tcPr>
          <w:p w14:paraId="3774E219" w14:textId="77777777" w:rsidR="00FE200F" w:rsidRDefault="00E77CAF">
            <w:pPr>
              <w:spacing w:line="228" w:lineRule="auto"/>
              <w:rPr>
                <w:rFonts w:ascii="Times New Roman" w:hAnsi="Times New Roman" w:cs="Times New Roman"/>
              </w:rPr>
            </w:pPr>
            <w:r>
              <w:rPr>
                <w:rFonts w:ascii="Times New Roman" w:eastAsia="Arial" w:hAnsi="Times New Roman" w:cs="Times New Roman"/>
              </w:rPr>
              <w:t>1.300.000</w:t>
            </w:r>
          </w:p>
        </w:tc>
        <w:tc>
          <w:tcPr>
            <w:tcW w:w="2158" w:type="dxa"/>
            <w:tcMar>
              <w:top w:w="40" w:type="dxa"/>
              <w:left w:w="50" w:type="dxa"/>
              <w:bottom w:w="40" w:type="dxa"/>
              <w:right w:w="50" w:type="dxa"/>
            </w:tcMar>
            <w:vAlign w:val="center"/>
          </w:tcPr>
          <w:p w14:paraId="1A12B878" w14:textId="77777777" w:rsidR="00FE200F" w:rsidRDefault="00E77CAF">
            <w:pPr>
              <w:spacing w:line="228" w:lineRule="auto"/>
              <w:rPr>
                <w:rFonts w:ascii="Times New Roman" w:hAnsi="Times New Roman" w:cs="Times New Roman"/>
              </w:rPr>
            </w:pPr>
            <w:r>
              <w:rPr>
                <w:rFonts w:ascii="Times New Roman" w:eastAsia="Arial" w:hAnsi="Times New Roman" w:cs="Times New Roman"/>
              </w:rPr>
              <w:t>Буџет на РСМ / ИПА III / Донатори</w:t>
            </w:r>
          </w:p>
        </w:tc>
        <w:tc>
          <w:tcPr>
            <w:tcW w:w="3168" w:type="dxa"/>
          </w:tcPr>
          <w:p w14:paraId="5B3B8FD6" w14:textId="77777777" w:rsidR="00FE200F" w:rsidRDefault="00E77CAF">
            <w:pPr>
              <w:rPr>
                <w:rFonts w:ascii="Times New Roman" w:hAnsi="Times New Roman" w:cs="Times New Roman"/>
              </w:rPr>
            </w:pPr>
            <w:r>
              <w:rPr>
                <w:rFonts w:ascii="Times New Roman" w:hAnsi="Times New Roman" w:cs="Times New Roman"/>
              </w:rPr>
              <w:t xml:space="preserve">Национален орган за ВИ, ВИ асистенти за е-услуги, автоматизација на процеси, обуки за администрација, </w:t>
            </w:r>
            <w:r>
              <w:rPr>
                <w:rFonts w:ascii="Times New Roman" w:hAnsi="Times New Roman" w:cs="Times New Roman"/>
                <w:i/>
                <w:iCs/>
              </w:rPr>
              <w:t xml:space="preserve">GovTech </w:t>
            </w:r>
            <w:r>
              <w:rPr>
                <w:rFonts w:ascii="Times New Roman" w:hAnsi="Times New Roman" w:cs="Times New Roman"/>
              </w:rPr>
              <w:t>набавки</w:t>
            </w:r>
          </w:p>
        </w:tc>
      </w:tr>
      <w:tr w:rsidR="00FE200F" w14:paraId="257E14F8" w14:textId="77777777">
        <w:tc>
          <w:tcPr>
            <w:tcW w:w="2161" w:type="dxa"/>
          </w:tcPr>
          <w:p w14:paraId="70E64936" w14:textId="77777777" w:rsidR="00FE200F" w:rsidRDefault="00E77CAF">
            <w:pPr>
              <w:rPr>
                <w:rFonts w:ascii="Times New Roman" w:hAnsi="Times New Roman" w:cs="Times New Roman"/>
              </w:rPr>
            </w:pPr>
            <w:r>
              <w:rPr>
                <w:rFonts w:ascii="Times New Roman" w:hAnsi="Times New Roman" w:cs="Times New Roman"/>
              </w:rPr>
              <w:t>Приоритетна област 2: Економија</w:t>
            </w:r>
          </w:p>
        </w:tc>
        <w:tc>
          <w:tcPr>
            <w:tcW w:w="2160" w:type="dxa"/>
          </w:tcPr>
          <w:p w14:paraId="4D9396AD" w14:textId="77777777" w:rsidR="00FE200F" w:rsidRDefault="00E77CAF">
            <w:pPr>
              <w:rPr>
                <w:rFonts w:ascii="Times New Roman" w:hAnsi="Times New Roman" w:cs="Times New Roman"/>
              </w:rPr>
            </w:pPr>
            <w:r>
              <w:rPr>
                <w:rFonts w:ascii="Times New Roman" w:hAnsi="Times New Roman" w:cs="Times New Roman"/>
              </w:rPr>
              <w:t>5.370.000</w:t>
            </w:r>
          </w:p>
        </w:tc>
        <w:tc>
          <w:tcPr>
            <w:tcW w:w="2158" w:type="dxa"/>
          </w:tcPr>
          <w:p w14:paraId="320840A4" w14:textId="77777777" w:rsidR="00FE200F" w:rsidRDefault="00E77CAF">
            <w:pPr>
              <w:rPr>
                <w:rFonts w:ascii="Times New Roman" w:hAnsi="Times New Roman" w:cs="Times New Roman"/>
              </w:rPr>
            </w:pPr>
            <w:r>
              <w:rPr>
                <w:rFonts w:ascii="Times New Roman" w:hAnsi="Times New Roman" w:cs="Times New Roman"/>
              </w:rPr>
              <w:t>ИПА III / ИНОВА / Донатори / Буџет на РСМ</w:t>
            </w:r>
          </w:p>
        </w:tc>
        <w:tc>
          <w:tcPr>
            <w:tcW w:w="3168" w:type="dxa"/>
          </w:tcPr>
          <w:p w14:paraId="01A4AC99" w14:textId="77777777" w:rsidR="00FE200F" w:rsidRDefault="00E77CAF">
            <w:pPr>
              <w:rPr>
                <w:rFonts w:ascii="Times New Roman" w:hAnsi="Times New Roman" w:cs="Times New Roman"/>
              </w:rPr>
            </w:pPr>
            <w:r>
              <w:rPr>
                <w:rFonts w:ascii="Times New Roman" w:hAnsi="Times New Roman" w:cs="Times New Roman"/>
              </w:rPr>
              <w:t>Грантова шема за МСП, менторска поддршка, ВИ акцелератор, привлекување СДИ, секторски ВИ иновации (Зелена ВИ)</w:t>
            </w:r>
          </w:p>
        </w:tc>
      </w:tr>
      <w:tr w:rsidR="00FE200F" w14:paraId="37A0882D" w14:textId="77777777">
        <w:tc>
          <w:tcPr>
            <w:tcW w:w="2161" w:type="dxa"/>
          </w:tcPr>
          <w:p w14:paraId="70F72816" w14:textId="77777777" w:rsidR="00FE200F" w:rsidRDefault="00E77CAF">
            <w:pPr>
              <w:rPr>
                <w:rFonts w:ascii="Times New Roman" w:hAnsi="Times New Roman" w:cs="Times New Roman"/>
              </w:rPr>
            </w:pPr>
            <w:r>
              <w:rPr>
                <w:rFonts w:ascii="Times New Roman" w:hAnsi="Times New Roman" w:cs="Times New Roman"/>
              </w:rPr>
              <w:t>Приоритетна област 3: Образование и наука</w:t>
            </w:r>
          </w:p>
        </w:tc>
        <w:tc>
          <w:tcPr>
            <w:tcW w:w="2160" w:type="dxa"/>
          </w:tcPr>
          <w:p w14:paraId="54C9CFF6" w14:textId="77777777" w:rsidR="00FE200F" w:rsidRDefault="00E77CAF">
            <w:pPr>
              <w:rPr>
                <w:rFonts w:ascii="Times New Roman" w:hAnsi="Times New Roman" w:cs="Times New Roman"/>
              </w:rPr>
            </w:pPr>
            <w:r>
              <w:rPr>
                <w:rFonts w:ascii="Times New Roman" w:hAnsi="Times New Roman" w:cs="Times New Roman"/>
              </w:rPr>
              <w:t>3.250.000</w:t>
            </w:r>
          </w:p>
        </w:tc>
        <w:tc>
          <w:tcPr>
            <w:tcW w:w="2158" w:type="dxa"/>
          </w:tcPr>
          <w:p w14:paraId="5D3BEB1B" w14:textId="77777777" w:rsidR="00FE200F" w:rsidRDefault="00E77CAF">
            <w:pPr>
              <w:rPr>
                <w:rFonts w:ascii="Times New Roman" w:hAnsi="Times New Roman" w:cs="Times New Roman"/>
              </w:rPr>
            </w:pPr>
            <w:r>
              <w:rPr>
                <w:rFonts w:ascii="Times New Roman" w:hAnsi="Times New Roman" w:cs="Times New Roman"/>
              </w:rPr>
              <w:t>Буџет на</w:t>
            </w:r>
            <w:r>
              <w:rPr>
                <w:rFonts w:ascii="Times New Roman" w:hAnsi="Times New Roman" w:cs="Times New Roman"/>
              </w:rPr>
              <w:t xml:space="preserve"> РСМ / ИПА III /</w:t>
            </w:r>
            <w:r>
              <w:rPr>
                <w:rFonts w:ascii="Times New Roman" w:hAnsi="Times New Roman" w:cs="Times New Roman"/>
                <w:i/>
                <w:iCs/>
              </w:rPr>
              <w:t xml:space="preserve"> Horizon Europe / EuroHPC</w:t>
            </w:r>
          </w:p>
        </w:tc>
        <w:tc>
          <w:tcPr>
            <w:tcW w:w="3168" w:type="dxa"/>
          </w:tcPr>
          <w:p w14:paraId="5EB7435F" w14:textId="77777777" w:rsidR="00FE200F" w:rsidRDefault="00E77CAF">
            <w:pPr>
              <w:rPr>
                <w:rFonts w:ascii="Times New Roman" w:hAnsi="Times New Roman" w:cs="Times New Roman"/>
              </w:rPr>
            </w:pPr>
            <w:r>
              <w:rPr>
                <w:rFonts w:ascii="Times New Roman" w:hAnsi="Times New Roman" w:cs="Times New Roman"/>
              </w:rPr>
              <w:t xml:space="preserve">ВИ во наставни програми, стипендии, истражувачки проекти, македонски </w:t>
            </w:r>
            <w:r>
              <w:rPr>
                <w:rFonts w:ascii="Times New Roman" w:hAnsi="Times New Roman" w:cs="Times New Roman"/>
                <w:i/>
                <w:iCs/>
              </w:rPr>
              <w:t>LLM</w:t>
            </w:r>
            <w:r>
              <w:rPr>
                <w:rFonts w:ascii="Times New Roman" w:hAnsi="Times New Roman" w:cs="Times New Roman"/>
              </w:rPr>
              <w:t>, преквалификација</w:t>
            </w:r>
          </w:p>
        </w:tc>
      </w:tr>
      <w:tr w:rsidR="00FE200F" w14:paraId="195CF0D6" w14:textId="77777777">
        <w:tc>
          <w:tcPr>
            <w:tcW w:w="2161" w:type="dxa"/>
          </w:tcPr>
          <w:p w14:paraId="2494F912" w14:textId="77777777" w:rsidR="00FE200F" w:rsidRDefault="00E77CAF">
            <w:pPr>
              <w:rPr>
                <w:rFonts w:ascii="Times New Roman" w:hAnsi="Times New Roman" w:cs="Times New Roman"/>
              </w:rPr>
            </w:pPr>
            <w:r>
              <w:rPr>
                <w:rFonts w:ascii="Times New Roman" w:hAnsi="Times New Roman" w:cs="Times New Roman"/>
              </w:rPr>
              <w:t>Приоритетна област 4: Податоци и инфраструктура</w:t>
            </w:r>
          </w:p>
        </w:tc>
        <w:tc>
          <w:tcPr>
            <w:tcW w:w="2160" w:type="dxa"/>
          </w:tcPr>
          <w:p w14:paraId="0223EF66" w14:textId="77777777" w:rsidR="00FE200F" w:rsidRDefault="00E77CAF">
            <w:pPr>
              <w:rPr>
                <w:rFonts w:ascii="Times New Roman" w:hAnsi="Times New Roman" w:cs="Times New Roman"/>
              </w:rPr>
            </w:pPr>
            <w:r>
              <w:rPr>
                <w:rFonts w:ascii="Times New Roman" w:hAnsi="Times New Roman" w:cs="Times New Roman"/>
              </w:rPr>
              <w:t>3.750.000</w:t>
            </w:r>
          </w:p>
        </w:tc>
        <w:tc>
          <w:tcPr>
            <w:tcW w:w="2158" w:type="dxa"/>
          </w:tcPr>
          <w:p w14:paraId="37A3D6F3" w14:textId="77777777" w:rsidR="00FE200F" w:rsidRDefault="00E77CAF">
            <w:pPr>
              <w:rPr>
                <w:rFonts w:ascii="Times New Roman" w:hAnsi="Times New Roman" w:cs="Times New Roman"/>
              </w:rPr>
            </w:pPr>
            <w:r>
              <w:rPr>
                <w:rFonts w:ascii="Times New Roman" w:hAnsi="Times New Roman" w:cs="Times New Roman"/>
              </w:rPr>
              <w:t>EuroHPC JU / ИПА III / НАТО / Буџет на РСМ</w:t>
            </w:r>
          </w:p>
        </w:tc>
        <w:tc>
          <w:tcPr>
            <w:tcW w:w="3168" w:type="dxa"/>
          </w:tcPr>
          <w:p w14:paraId="2379F947" w14:textId="77777777" w:rsidR="00FE200F" w:rsidRDefault="00E77CAF">
            <w:pPr>
              <w:rPr>
                <w:rFonts w:ascii="Times New Roman" w:hAnsi="Times New Roman" w:cs="Times New Roman"/>
              </w:rPr>
            </w:pPr>
            <w:r>
              <w:rPr>
                <w:rFonts w:ascii="Times New Roman" w:hAnsi="Times New Roman" w:cs="Times New Roman"/>
              </w:rPr>
              <w:t xml:space="preserve">Надградба на Везилка </w:t>
            </w:r>
            <w:r>
              <w:rPr>
                <w:rFonts w:ascii="Times New Roman" w:hAnsi="Times New Roman" w:cs="Times New Roman"/>
                <w:i/>
                <w:iCs/>
              </w:rPr>
              <w:t>(HPC), AI Compute Credits</w:t>
            </w:r>
            <w:r>
              <w:rPr>
                <w:rFonts w:ascii="Times New Roman" w:hAnsi="Times New Roman" w:cs="Times New Roman"/>
              </w:rPr>
              <w:t>, отворени податоци, сајбер-безбедност, интероперабилност</w:t>
            </w:r>
          </w:p>
        </w:tc>
      </w:tr>
      <w:tr w:rsidR="00FE200F" w14:paraId="5D1D473A" w14:textId="77777777">
        <w:tc>
          <w:tcPr>
            <w:tcW w:w="2161" w:type="dxa"/>
          </w:tcPr>
          <w:p w14:paraId="1D9005A1" w14:textId="77777777" w:rsidR="00FE200F" w:rsidRDefault="00E77CAF">
            <w:pPr>
              <w:rPr>
                <w:rFonts w:ascii="Times New Roman" w:hAnsi="Times New Roman" w:cs="Times New Roman"/>
              </w:rPr>
            </w:pPr>
            <w:r>
              <w:rPr>
                <w:rFonts w:ascii="Times New Roman" w:hAnsi="Times New Roman" w:cs="Times New Roman"/>
              </w:rPr>
              <w:t>Приоритетна област 5: Правна и етичка рамка</w:t>
            </w:r>
          </w:p>
        </w:tc>
        <w:tc>
          <w:tcPr>
            <w:tcW w:w="2160" w:type="dxa"/>
          </w:tcPr>
          <w:p w14:paraId="3934BAB2" w14:textId="77777777" w:rsidR="00FE200F" w:rsidRDefault="00E77CAF">
            <w:pPr>
              <w:rPr>
                <w:rFonts w:ascii="Times New Roman" w:hAnsi="Times New Roman" w:cs="Times New Roman"/>
              </w:rPr>
            </w:pPr>
            <w:r>
              <w:rPr>
                <w:rFonts w:ascii="Times New Roman" w:hAnsi="Times New Roman" w:cs="Times New Roman"/>
              </w:rPr>
              <w:t>580.000</w:t>
            </w:r>
          </w:p>
        </w:tc>
        <w:tc>
          <w:tcPr>
            <w:tcW w:w="2158" w:type="dxa"/>
          </w:tcPr>
          <w:p w14:paraId="36EB03E6" w14:textId="77777777" w:rsidR="00FE200F" w:rsidRDefault="00E77CAF">
            <w:pPr>
              <w:rPr>
                <w:rFonts w:ascii="Times New Roman" w:hAnsi="Times New Roman" w:cs="Times New Roman"/>
              </w:rPr>
            </w:pPr>
            <w:r>
              <w:rPr>
                <w:rFonts w:ascii="Times New Roman" w:hAnsi="Times New Roman" w:cs="Times New Roman"/>
              </w:rPr>
              <w:t>Буџет на РСМ / ИПА III / Твининг</w:t>
            </w:r>
          </w:p>
        </w:tc>
        <w:tc>
          <w:tcPr>
            <w:tcW w:w="3168" w:type="dxa"/>
          </w:tcPr>
          <w:p w14:paraId="71016219" w14:textId="77777777" w:rsidR="00FE200F" w:rsidRDefault="00E77CAF">
            <w:pPr>
              <w:rPr>
                <w:rFonts w:ascii="Times New Roman" w:hAnsi="Times New Roman" w:cs="Times New Roman"/>
              </w:rPr>
            </w:pPr>
            <w:r>
              <w:rPr>
                <w:rFonts w:ascii="Times New Roman" w:hAnsi="Times New Roman" w:cs="Times New Roman"/>
              </w:rPr>
              <w:t>Закон за ВИ (</w:t>
            </w:r>
            <w:r>
              <w:rPr>
                <w:rFonts w:ascii="Times New Roman" w:hAnsi="Times New Roman" w:cs="Times New Roman"/>
                <w:i/>
                <w:iCs/>
              </w:rPr>
              <w:t>EU AI Act</w:t>
            </w:r>
            <w:r>
              <w:rPr>
                <w:rFonts w:ascii="Times New Roman" w:hAnsi="Times New Roman" w:cs="Times New Roman"/>
              </w:rPr>
              <w:t xml:space="preserve">), регулаторно тело, хармонизација на ЗЗЛП, Етички кодекс, </w:t>
            </w:r>
            <w:r>
              <w:rPr>
                <w:rFonts w:ascii="Times New Roman" w:hAnsi="Times New Roman" w:cs="Times New Roman"/>
                <w:i/>
                <w:iCs/>
              </w:rPr>
              <w:t>Regulatory Sandbox, GPAI</w:t>
            </w:r>
          </w:p>
        </w:tc>
      </w:tr>
      <w:tr w:rsidR="00FE200F" w14:paraId="2F723D23" w14:textId="77777777">
        <w:tc>
          <w:tcPr>
            <w:tcW w:w="2161" w:type="dxa"/>
            <w:shd w:val="clear" w:color="auto" w:fill="E8F0FE"/>
          </w:tcPr>
          <w:p w14:paraId="4742565C" w14:textId="77777777" w:rsidR="00FE200F" w:rsidRDefault="00E77CAF">
            <w:pPr>
              <w:rPr>
                <w:rFonts w:ascii="Times New Roman" w:hAnsi="Times New Roman" w:cs="Times New Roman"/>
              </w:rPr>
            </w:pPr>
            <w:r>
              <w:rPr>
                <w:rFonts w:ascii="Times New Roman" w:hAnsi="Times New Roman" w:cs="Times New Roman"/>
              </w:rPr>
              <w:lastRenderedPageBreak/>
              <w:t>ВКУПНО</w:t>
            </w:r>
          </w:p>
        </w:tc>
        <w:tc>
          <w:tcPr>
            <w:tcW w:w="2160" w:type="dxa"/>
            <w:shd w:val="clear" w:color="auto" w:fill="E8F0FE"/>
            <w:tcMar>
              <w:top w:w="40" w:type="dxa"/>
              <w:left w:w="50" w:type="dxa"/>
              <w:bottom w:w="40" w:type="dxa"/>
              <w:right w:w="50" w:type="dxa"/>
            </w:tcMar>
            <w:vAlign w:val="center"/>
          </w:tcPr>
          <w:p w14:paraId="56F7DC8A" w14:textId="77777777" w:rsidR="00FE200F" w:rsidRDefault="00E77CAF">
            <w:pPr>
              <w:spacing w:line="228" w:lineRule="auto"/>
              <w:rPr>
                <w:rFonts w:ascii="Times New Roman" w:hAnsi="Times New Roman" w:cs="Times New Roman"/>
              </w:rPr>
            </w:pPr>
            <w:r>
              <w:rPr>
                <w:rFonts w:ascii="Times New Roman" w:eastAsia="Arial" w:hAnsi="Times New Roman" w:cs="Times New Roman"/>
                <w:b/>
              </w:rPr>
              <w:t>14.250.000</w:t>
            </w:r>
          </w:p>
        </w:tc>
        <w:tc>
          <w:tcPr>
            <w:tcW w:w="2158" w:type="dxa"/>
            <w:shd w:val="clear" w:color="auto" w:fill="E8F0FE"/>
            <w:tcMar>
              <w:top w:w="40" w:type="dxa"/>
              <w:left w:w="50" w:type="dxa"/>
              <w:bottom w:w="40" w:type="dxa"/>
              <w:right w:w="50" w:type="dxa"/>
            </w:tcMar>
            <w:vAlign w:val="center"/>
          </w:tcPr>
          <w:p w14:paraId="7DD48128" w14:textId="77777777" w:rsidR="00FE200F" w:rsidRDefault="00E77CAF">
            <w:pPr>
              <w:spacing w:line="228" w:lineRule="auto"/>
              <w:rPr>
                <w:rFonts w:ascii="Times New Roman" w:hAnsi="Times New Roman" w:cs="Times New Roman"/>
              </w:rPr>
            </w:pPr>
            <w:r>
              <w:rPr>
                <w:rFonts w:ascii="Times New Roman" w:eastAsia="Arial" w:hAnsi="Times New Roman" w:cs="Times New Roman"/>
                <w:b/>
              </w:rPr>
              <w:t>Индикативен: Буџет + ЕУ + ИНОВА + Донатори</w:t>
            </w:r>
          </w:p>
        </w:tc>
        <w:tc>
          <w:tcPr>
            <w:tcW w:w="3168" w:type="dxa"/>
            <w:shd w:val="clear" w:color="auto" w:fill="E8F0FE"/>
            <w:tcMar>
              <w:top w:w="40" w:type="dxa"/>
              <w:left w:w="50" w:type="dxa"/>
              <w:bottom w:w="40" w:type="dxa"/>
              <w:right w:w="50" w:type="dxa"/>
            </w:tcMar>
            <w:vAlign w:val="center"/>
          </w:tcPr>
          <w:p w14:paraId="5C6BD25E" w14:textId="77777777" w:rsidR="00FE200F" w:rsidRDefault="00E77CAF">
            <w:pPr>
              <w:spacing w:line="228" w:lineRule="auto"/>
              <w:rPr>
                <w:rFonts w:ascii="Times New Roman" w:hAnsi="Times New Roman" w:cs="Times New Roman"/>
              </w:rPr>
            </w:pPr>
            <w:r>
              <w:rPr>
                <w:rFonts w:ascii="Times New Roman" w:eastAsia="Arial" w:hAnsi="Times New Roman" w:cs="Times New Roman"/>
                <w:b/>
              </w:rPr>
              <w:t>Сите 27 мерки и 78 активности во 5 Приоритетни области</w:t>
            </w:r>
          </w:p>
        </w:tc>
      </w:tr>
    </w:tbl>
    <w:p w14:paraId="4CA02B26" w14:textId="77777777" w:rsidR="00FE200F" w:rsidRDefault="00E77CAF">
      <w:pPr>
        <w:spacing w:after="100" w:line="252" w:lineRule="auto"/>
        <w:jc w:val="both"/>
        <w:rPr>
          <w:rFonts w:ascii="Times New Roman" w:hAnsi="Times New Roman" w:cs="Times New Roman"/>
        </w:rPr>
      </w:pPr>
      <w:r>
        <w:rPr>
          <w:rFonts w:ascii="Times New Roman" w:eastAsia="Arial" w:hAnsi="Times New Roman" w:cs="Times New Roman"/>
          <w:b/>
        </w:rPr>
        <w:t>Табела 3: Индикативен финансиски план по Приоритетни области (2027–2029)</w:t>
      </w:r>
    </w:p>
    <w:p w14:paraId="37A43CED" w14:textId="77777777" w:rsidR="00FE200F" w:rsidRDefault="00E77CAF">
      <w:pPr>
        <w:spacing w:after="100" w:line="252" w:lineRule="auto"/>
        <w:jc w:val="both"/>
        <w:rPr>
          <w:rFonts w:ascii="Times New Roman" w:hAnsi="Times New Roman" w:cs="Times New Roman"/>
        </w:rPr>
        <w:sectPr w:rsidR="00FE200F">
          <w:footerReference w:type="even" r:id="rId18"/>
          <w:footerReference w:type="default" r:id="rId19"/>
          <w:footerReference w:type="first" r:id="rId20"/>
          <w:pgSz w:w="11906" w:h="16838"/>
          <w:pgMar w:top="1020" w:right="1020" w:bottom="1020" w:left="1020" w:header="0" w:footer="720" w:gutter="0"/>
          <w:cols w:space="720"/>
          <w:formProt w:val="0"/>
          <w:docGrid w:linePitch="360" w:charSpace="8192"/>
        </w:sectPr>
      </w:pPr>
      <w:r>
        <w:rPr>
          <w:rFonts w:ascii="Times New Roman" w:eastAsia="Arial" w:hAnsi="Times New Roman" w:cs="Times New Roman"/>
        </w:rPr>
        <w:t>Напомена: Вкупниот индикативен износ е 14.250.000 EUR. Буџетските и надворешните износи ќе се прецизираат во годишните програми на надлежните институции, во постапките за подготовка на ОПФИ и по одобрување на релевантни проектни апликации.</w:t>
      </w:r>
    </w:p>
    <w:p w14:paraId="32C22E0F" w14:textId="77777777" w:rsidR="00FE200F" w:rsidRDefault="00E77CAF">
      <w:pPr>
        <w:pStyle w:val="Heading2"/>
        <w:spacing w:after="100" w:line="252" w:lineRule="auto"/>
        <w:rPr>
          <w:rFonts w:ascii="Times New Roman" w:hAnsi="Times New Roman" w:cs="Times New Roman"/>
          <w:color w:val="auto"/>
          <w:sz w:val="22"/>
          <w:szCs w:val="22"/>
        </w:rPr>
      </w:pPr>
      <w:bookmarkStart w:id="163" w:name="_Toc240630107"/>
      <w:bookmarkStart w:id="164" w:name="_Toc243908050"/>
      <w:r>
        <w:rPr>
          <w:rFonts w:ascii="Times New Roman" w:eastAsia="Arial" w:hAnsi="Times New Roman" w:cs="Times New Roman"/>
          <w:color w:val="auto"/>
          <w:sz w:val="22"/>
          <w:szCs w:val="22"/>
          <w:lang w:val="mk-MK"/>
        </w:rPr>
        <w:lastRenderedPageBreak/>
        <w:t>11</w:t>
      </w:r>
      <w:r>
        <w:rPr>
          <w:rFonts w:ascii="Times New Roman" w:eastAsia="Arial" w:hAnsi="Times New Roman" w:cs="Times New Roman"/>
          <w:color w:val="auto"/>
          <w:sz w:val="22"/>
          <w:szCs w:val="22"/>
        </w:rPr>
        <w:t>.1 Индикативна</w:t>
      </w:r>
      <w:r>
        <w:rPr>
          <w:rFonts w:ascii="Times New Roman" w:eastAsia="Arial" w:hAnsi="Times New Roman" w:cs="Times New Roman"/>
          <w:color w:val="auto"/>
          <w:sz w:val="22"/>
          <w:szCs w:val="22"/>
        </w:rPr>
        <w:t xml:space="preserve"> распределба на финансиски средства по мерка и извор</w:t>
      </w:r>
      <w:bookmarkEnd w:id="163"/>
      <w:bookmarkEnd w:id="164"/>
    </w:p>
    <w:p w14:paraId="5E6DC6BF" w14:textId="77777777" w:rsidR="00FE200F" w:rsidRDefault="00E77CAF">
      <w:pPr>
        <w:spacing w:after="100" w:line="252" w:lineRule="auto"/>
        <w:jc w:val="both"/>
        <w:rPr>
          <w:rFonts w:ascii="Times New Roman" w:hAnsi="Times New Roman" w:cs="Times New Roman"/>
        </w:rPr>
      </w:pPr>
      <w:r>
        <w:rPr>
          <w:rFonts w:ascii="Times New Roman" w:eastAsia="Arial" w:hAnsi="Times New Roman" w:cs="Times New Roman"/>
        </w:rPr>
        <w:t>Следната распределба е индикативна работна основа за ОПФИ. Износите по извор не се договорени средства; тие задолжително подлежат на валидација од Министерството за финансии, водечките институции и соодв</w:t>
      </w:r>
      <w:r>
        <w:rPr>
          <w:rFonts w:ascii="Times New Roman" w:eastAsia="Arial" w:hAnsi="Times New Roman" w:cs="Times New Roman"/>
        </w:rPr>
        <w:t>етните донаторски програми. Износот на НАТО Програмата „Наука за мир и безбедност“ (SPS) може да се користи само по одобрување на конкретна проектна апликација.</w:t>
      </w:r>
    </w:p>
    <w:p w14:paraId="346E6A4D" w14:textId="77777777" w:rsidR="00FE200F" w:rsidRDefault="00E77CAF">
      <w:pPr>
        <w:spacing w:after="100" w:line="252" w:lineRule="auto"/>
        <w:rPr>
          <w:rFonts w:ascii="Times New Roman" w:hAnsi="Times New Roman" w:cs="Times New Roman"/>
        </w:rPr>
      </w:pPr>
      <w:r>
        <w:rPr>
          <w:rFonts w:ascii="Times New Roman" w:eastAsia="Arial" w:hAnsi="Times New Roman" w:cs="Times New Roman"/>
          <w:b/>
        </w:rPr>
        <w:t>Табела 4: Индикативна распределба на средства по мерка и извор (за валидација)</w:t>
      </w:r>
    </w:p>
    <w:tbl>
      <w:tblPr>
        <w:tblStyle w:val="TableGrid"/>
        <w:tblW w:w="14000" w:type="dxa"/>
        <w:tblLayout w:type="fixed"/>
        <w:tblCellMar>
          <w:top w:w="40" w:type="dxa"/>
          <w:left w:w="50" w:type="dxa"/>
          <w:bottom w:w="40" w:type="dxa"/>
          <w:right w:w="50" w:type="dxa"/>
        </w:tblCellMar>
        <w:tblLook w:val="04A0" w:firstRow="1" w:lastRow="0" w:firstColumn="1" w:lastColumn="0" w:noHBand="0" w:noVBand="1"/>
      </w:tblPr>
      <w:tblGrid>
        <w:gridCol w:w="2722"/>
        <w:gridCol w:w="1545"/>
        <w:gridCol w:w="1546"/>
        <w:gridCol w:w="1547"/>
        <w:gridCol w:w="1544"/>
        <w:gridCol w:w="1544"/>
        <w:gridCol w:w="1546"/>
        <w:gridCol w:w="2006"/>
      </w:tblGrid>
      <w:tr w:rsidR="00FE200F" w14:paraId="5882EB7D" w14:textId="77777777">
        <w:trPr>
          <w:tblHeader/>
        </w:trPr>
        <w:tc>
          <w:tcPr>
            <w:tcW w:w="2721" w:type="dxa"/>
            <w:shd w:val="clear" w:color="auto" w:fill="4472C4"/>
            <w:vAlign w:val="center"/>
          </w:tcPr>
          <w:p w14:paraId="0AF0C871"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Мерка</w:t>
            </w:r>
          </w:p>
        </w:tc>
        <w:tc>
          <w:tcPr>
            <w:tcW w:w="1544" w:type="dxa"/>
            <w:shd w:val="clear" w:color="auto" w:fill="4472C4"/>
            <w:vAlign w:val="center"/>
          </w:tcPr>
          <w:p w14:paraId="524660EE"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Вкупно</w:t>
            </w:r>
            <w:r>
              <w:rPr>
                <w:rFonts w:ascii="Times New Roman" w:hAnsi="Times New Roman" w:cs="Times New Roman"/>
                <w:sz w:val="16"/>
                <w:szCs w:val="16"/>
              </w:rPr>
              <w:br/>
            </w:r>
            <w:r>
              <w:rPr>
                <w:rFonts w:ascii="Times New Roman" w:eastAsia="Arial" w:hAnsi="Times New Roman" w:cs="Times New Roman"/>
                <w:b/>
                <w:color w:val="FFFFFF"/>
                <w:sz w:val="16"/>
                <w:szCs w:val="16"/>
              </w:rPr>
              <w:t>(EUR)</w:t>
            </w:r>
          </w:p>
        </w:tc>
        <w:tc>
          <w:tcPr>
            <w:tcW w:w="1546" w:type="dxa"/>
            <w:shd w:val="clear" w:color="auto" w:fill="4472C4"/>
            <w:vAlign w:val="center"/>
          </w:tcPr>
          <w:p w14:paraId="7101680B"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Буџет на</w:t>
            </w:r>
            <w:r>
              <w:rPr>
                <w:rFonts w:ascii="Times New Roman" w:hAnsi="Times New Roman" w:cs="Times New Roman"/>
                <w:sz w:val="16"/>
                <w:szCs w:val="16"/>
              </w:rPr>
              <w:br/>
            </w:r>
            <w:r>
              <w:rPr>
                <w:rFonts w:ascii="Times New Roman" w:eastAsia="Arial" w:hAnsi="Times New Roman" w:cs="Times New Roman"/>
                <w:b/>
                <w:color w:val="FFFFFF"/>
                <w:sz w:val="16"/>
                <w:szCs w:val="16"/>
              </w:rPr>
              <w:t>РСМ</w:t>
            </w:r>
          </w:p>
        </w:tc>
        <w:tc>
          <w:tcPr>
            <w:tcW w:w="1547" w:type="dxa"/>
            <w:shd w:val="clear" w:color="auto" w:fill="4472C4"/>
            <w:vAlign w:val="center"/>
          </w:tcPr>
          <w:p w14:paraId="5E01692D"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ИПА III</w:t>
            </w:r>
          </w:p>
        </w:tc>
        <w:tc>
          <w:tcPr>
            <w:tcW w:w="1544" w:type="dxa"/>
            <w:shd w:val="clear" w:color="auto" w:fill="4472C4"/>
            <w:vAlign w:val="center"/>
          </w:tcPr>
          <w:p w14:paraId="772CD4DC"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ИНОВА</w:t>
            </w:r>
          </w:p>
        </w:tc>
        <w:tc>
          <w:tcPr>
            <w:tcW w:w="1544" w:type="dxa"/>
            <w:shd w:val="clear" w:color="auto" w:fill="4472C4"/>
            <w:vAlign w:val="center"/>
          </w:tcPr>
          <w:p w14:paraId="0DEF033F"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Horizon Europe /</w:t>
            </w:r>
            <w:r>
              <w:rPr>
                <w:rFonts w:ascii="Times New Roman" w:hAnsi="Times New Roman" w:cs="Times New Roman"/>
                <w:sz w:val="16"/>
                <w:szCs w:val="16"/>
              </w:rPr>
              <w:br/>
            </w:r>
            <w:r>
              <w:rPr>
                <w:rFonts w:ascii="Times New Roman" w:eastAsia="Arial" w:hAnsi="Times New Roman" w:cs="Times New Roman"/>
                <w:b/>
                <w:color w:val="FFFFFF"/>
                <w:sz w:val="16"/>
                <w:szCs w:val="16"/>
              </w:rPr>
              <w:t>EuroHPC</w:t>
            </w:r>
          </w:p>
        </w:tc>
        <w:tc>
          <w:tcPr>
            <w:tcW w:w="1546" w:type="dxa"/>
            <w:shd w:val="clear" w:color="auto" w:fill="4472C4"/>
            <w:vAlign w:val="center"/>
          </w:tcPr>
          <w:p w14:paraId="255C3D03"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Други надворешни извори*</w:t>
            </w:r>
          </w:p>
        </w:tc>
        <w:tc>
          <w:tcPr>
            <w:tcW w:w="2006" w:type="dxa"/>
            <w:shd w:val="clear" w:color="auto" w:fill="4472C4"/>
            <w:vAlign w:val="center"/>
          </w:tcPr>
          <w:p w14:paraId="5E9D6D9C"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b/>
                <w:color w:val="FFFFFF"/>
                <w:sz w:val="16"/>
                <w:szCs w:val="16"/>
              </w:rPr>
              <w:t>Статус на валидација</w:t>
            </w:r>
          </w:p>
        </w:tc>
      </w:tr>
      <w:tr w:rsidR="00FE200F" w14:paraId="4A35FBC6" w14:textId="77777777">
        <w:trPr>
          <w:cantSplit/>
        </w:trPr>
        <w:tc>
          <w:tcPr>
            <w:tcW w:w="2721" w:type="dxa"/>
            <w:vAlign w:val="center"/>
          </w:tcPr>
          <w:p w14:paraId="3190F0E1"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М1.1.1 Воспоставување на Национален орган за ВИ</w:t>
            </w:r>
          </w:p>
        </w:tc>
        <w:tc>
          <w:tcPr>
            <w:tcW w:w="1544" w:type="dxa"/>
            <w:vAlign w:val="center"/>
          </w:tcPr>
          <w:p w14:paraId="2075B2BE"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150.000</w:t>
            </w:r>
          </w:p>
        </w:tc>
        <w:tc>
          <w:tcPr>
            <w:tcW w:w="1546" w:type="dxa"/>
            <w:vAlign w:val="center"/>
          </w:tcPr>
          <w:p w14:paraId="5E56F60B"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150.000</w:t>
            </w:r>
          </w:p>
        </w:tc>
        <w:tc>
          <w:tcPr>
            <w:tcW w:w="1547" w:type="dxa"/>
            <w:vAlign w:val="center"/>
          </w:tcPr>
          <w:p w14:paraId="4929E7BA"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4" w:type="dxa"/>
            <w:vAlign w:val="center"/>
          </w:tcPr>
          <w:p w14:paraId="67AB9B57"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4" w:type="dxa"/>
            <w:vAlign w:val="center"/>
          </w:tcPr>
          <w:p w14:paraId="3D735177"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6" w:type="dxa"/>
            <w:vAlign w:val="center"/>
          </w:tcPr>
          <w:p w14:paraId="0C091B8C"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w:t>
            </w:r>
          </w:p>
        </w:tc>
        <w:tc>
          <w:tcPr>
            <w:tcW w:w="2006" w:type="dxa"/>
            <w:vAlign w:val="center"/>
          </w:tcPr>
          <w:p w14:paraId="5472911E"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Индикативно; МФ/МДТ валидација</w:t>
            </w:r>
          </w:p>
        </w:tc>
      </w:tr>
      <w:tr w:rsidR="00FE200F" w14:paraId="7E97FE99" w14:textId="77777777">
        <w:trPr>
          <w:cantSplit/>
        </w:trPr>
        <w:tc>
          <w:tcPr>
            <w:tcW w:w="2721" w:type="dxa"/>
            <w:vAlign w:val="center"/>
          </w:tcPr>
          <w:p w14:paraId="1408A689"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 xml:space="preserve">М1.1.2. Формирање на меѓуинституционална </w:t>
            </w:r>
            <w:r>
              <w:rPr>
                <w:rFonts w:ascii="Times New Roman" w:eastAsia="Arial" w:hAnsi="Times New Roman" w:cs="Times New Roman"/>
                <w:sz w:val="16"/>
                <w:szCs w:val="16"/>
              </w:rPr>
              <w:t>координативна група</w:t>
            </w:r>
          </w:p>
        </w:tc>
        <w:tc>
          <w:tcPr>
            <w:tcW w:w="1544" w:type="dxa"/>
            <w:vAlign w:val="center"/>
          </w:tcPr>
          <w:p w14:paraId="2AE993D0"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6" w:type="dxa"/>
            <w:vAlign w:val="center"/>
          </w:tcPr>
          <w:p w14:paraId="5DD85552"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7" w:type="dxa"/>
            <w:vAlign w:val="center"/>
          </w:tcPr>
          <w:p w14:paraId="4F4E24EC"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4" w:type="dxa"/>
            <w:vAlign w:val="center"/>
          </w:tcPr>
          <w:p w14:paraId="03EB4E6D"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4" w:type="dxa"/>
            <w:vAlign w:val="center"/>
          </w:tcPr>
          <w:p w14:paraId="752C5328"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6" w:type="dxa"/>
            <w:vAlign w:val="center"/>
          </w:tcPr>
          <w:p w14:paraId="407F2223"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w:t>
            </w:r>
          </w:p>
        </w:tc>
        <w:tc>
          <w:tcPr>
            <w:tcW w:w="2006" w:type="dxa"/>
            <w:vAlign w:val="center"/>
          </w:tcPr>
          <w:p w14:paraId="684D7540"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Не се потребни дополнителни средства</w:t>
            </w:r>
          </w:p>
        </w:tc>
      </w:tr>
      <w:tr w:rsidR="00FE200F" w14:paraId="7CBC4238" w14:textId="77777777">
        <w:trPr>
          <w:cantSplit/>
        </w:trPr>
        <w:tc>
          <w:tcPr>
            <w:tcW w:w="2721" w:type="dxa"/>
            <w:vAlign w:val="center"/>
          </w:tcPr>
          <w:p w14:paraId="280F386F"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М1.2.1. Развој на ВИ виртуелни асистенти за граѓаните</w:t>
            </w:r>
          </w:p>
        </w:tc>
        <w:tc>
          <w:tcPr>
            <w:tcW w:w="1544" w:type="dxa"/>
            <w:vAlign w:val="center"/>
          </w:tcPr>
          <w:p w14:paraId="6AF4AFBF"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300.000</w:t>
            </w:r>
          </w:p>
        </w:tc>
        <w:tc>
          <w:tcPr>
            <w:tcW w:w="1546" w:type="dxa"/>
            <w:vAlign w:val="center"/>
          </w:tcPr>
          <w:p w14:paraId="48071FC8"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90.000</w:t>
            </w:r>
          </w:p>
        </w:tc>
        <w:tc>
          <w:tcPr>
            <w:tcW w:w="1547" w:type="dxa"/>
            <w:vAlign w:val="center"/>
          </w:tcPr>
          <w:p w14:paraId="545B1CFD"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210.000</w:t>
            </w:r>
          </w:p>
        </w:tc>
        <w:tc>
          <w:tcPr>
            <w:tcW w:w="1544" w:type="dxa"/>
            <w:vAlign w:val="center"/>
          </w:tcPr>
          <w:p w14:paraId="4673EDE0"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4" w:type="dxa"/>
            <w:vAlign w:val="center"/>
          </w:tcPr>
          <w:p w14:paraId="68798DA7"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6" w:type="dxa"/>
            <w:vAlign w:val="center"/>
          </w:tcPr>
          <w:p w14:paraId="1A3C335C"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w:t>
            </w:r>
          </w:p>
        </w:tc>
        <w:tc>
          <w:tcPr>
            <w:tcW w:w="2006" w:type="dxa"/>
            <w:vAlign w:val="center"/>
          </w:tcPr>
          <w:p w14:paraId="128B1549"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Индикативно; IPA III валидација</w:t>
            </w:r>
          </w:p>
        </w:tc>
      </w:tr>
      <w:tr w:rsidR="00FE200F" w14:paraId="78838C98" w14:textId="77777777">
        <w:trPr>
          <w:cantSplit/>
        </w:trPr>
        <w:tc>
          <w:tcPr>
            <w:tcW w:w="2721" w:type="dxa"/>
            <w:vAlign w:val="center"/>
          </w:tcPr>
          <w:p w14:paraId="5D456118"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М1.2.2. ВИ за автоматизација на рутински административни процеси</w:t>
            </w:r>
          </w:p>
        </w:tc>
        <w:tc>
          <w:tcPr>
            <w:tcW w:w="1544" w:type="dxa"/>
            <w:vAlign w:val="center"/>
          </w:tcPr>
          <w:p w14:paraId="49AAAE35"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200.000</w:t>
            </w:r>
          </w:p>
        </w:tc>
        <w:tc>
          <w:tcPr>
            <w:tcW w:w="1546" w:type="dxa"/>
            <w:vAlign w:val="center"/>
          </w:tcPr>
          <w:p w14:paraId="33EA14F3"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60.000</w:t>
            </w:r>
          </w:p>
        </w:tc>
        <w:tc>
          <w:tcPr>
            <w:tcW w:w="1547" w:type="dxa"/>
            <w:vAlign w:val="center"/>
          </w:tcPr>
          <w:p w14:paraId="3632851F"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140.000</w:t>
            </w:r>
          </w:p>
        </w:tc>
        <w:tc>
          <w:tcPr>
            <w:tcW w:w="1544" w:type="dxa"/>
            <w:vAlign w:val="center"/>
          </w:tcPr>
          <w:p w14:paraId="4B29BDBE"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4" w:type="dxa"/>
            <w:vAlign w:val="center"/>
          </w:tcPr>
          <w:p w14:paraId="1B6106CE"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6" w:type="dxa"/>
            <w:vAlign w:val="center"/>
          </w:tcPr>
          <w:p w14:paraId="744ECC13"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w:t>
            </w:r>
          </w:p>
        </w:tc>
        <w:tc>
          <w:tcPr>
            <w:tcW w:w="2006" w:type="dxa"/>
            <w:vAlign w:val="center"/>
          </w:tcPr>
          <w:p w14:paraId="0DF7DA6F"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Индикативно; IPA III валидација</w:t>
            </w:r>
          </w:p>
        </w:tc>
      </w:tr>
      <w:tr w:rsidR="00FE200F" w14:paraId="58C4C3F6" w14:textId="77777777">
        <w:trPr>
          <w:cantSplit/>
        </w:trPr>
        <w:tc>
          <w:tcPr>
            <w:tcW w:w="2721" w:type="dxa"/>
            <w:vAlign w:val="center"/>
          </w:tcPr>
          <w:p w14:paraId="69B58CDE"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М1.3.1. Програма за ВИ писменост и обука на државни службеници</w:t>
            </w:r>
          </w:p>
        </w:tc>
        <w:tc>
          <w:tcPr>
            <w:tcW w:w="1544" w:type="dxa"/>
            <w:vAlign w:val="center"/>
          </w:tcPr>
          <w:p w14:paraId="74E9FED5"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150.000</w:t>
            </w:r>
          </w:p>
        </w:tc>
        <w:tc>
          <w:tcPr>
            <w:tcW w:w="1546" w:type="dxa"/>
            <w:vAlign w:val="center"/>
          </w:tcPr>
          <w:p w14:paraId="4FE21795"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75.000</w:t>
            </w:r>
          </w:p>
        </w:tc>
        <w:tc>
          <w:tcPr>
            <w:tcW w:w="1547" w:type="dxa"/>
            <w:vAlign w:val="center"/>
          </w:tcPr>
          <w:p w14:paraId="2FAF7FAE"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4" w:type="dxa"/>
            <w:vAlign w:val="center"/>
          </w:tcPr>
          <w:p w14:paraId="7AC1F3CC"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4" w:type="dxa"/>
            <w:vAlign w:val="center"/>
          </w:tcPr>
          <w:p w14:paraId="7DB2E526"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6" w:type="dxa"/>
            <w:vAlign w:val="center"/>
          </w:tcPr>
          <w:p w14:paraId="530DCF60"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Донатори: 75.000</w:t>
            </w:r>
          </w:p>
        </w:tc>
        <w:tc>
          <w:tcPr>
            <w:tcW w:w="2006" w:type="dxa"/>
            <w:vAlign w:val="center"/>
          </w:tcPr>
          <w:p w14:paraId="53D9775B"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Донаторскиот дел е предмет на потврда</w:t>
            </w:r>
          </w:p>
        </w:tc>
      </w:tr>
      <w:tr w:rsidR="00FE200F" w14:paraId="69FA4885" w14:textId="77777777">
        <w:trPr>
          <w:cantSplit/>
        </w:trPr>
        <w:tc>
          <w:tcPr>
            <w:tcW w:w="2721" w:type="dxa"/>
            <w:vAlign w:val="center"/>
          </w:tcPr>
          <w:p w14:paraId="0F9E8F69"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 xml:space="preserve">М1.3.2 Воведување на GovTech предизвици и иновативни </w:t>
            </w:r>
            <w:r>
              <w:rPr>
                <w:rFonts w:ascii="Times New Roman" w:eastAsia="Arial" w:hAnsi="Times New Roman" w:cs="Times New Roman"/>
                <w:sz w:val="16"/>
                <w:szCs w:val="16"/>
              </w:rPr>
              <w:t>набавки</w:t>
            </w:r>
          </w:p>
        </w:tc>
        <w:tc>
          <w:tcPr>
            <w:tcW w:w="1544" w:type="dxa"/>
            <w:vAlign w:val="center"/>
          </w:tcPr>
          <w:p w14:paraId="50F056DB"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500.000</w:t>
            </w:r>
          </w:p>
        </w:tc>
        <w:tc>
          <w:tcPr>
            <w:tcW w:w="1546" w:type="dxa"/>
            <w:vAlign w:val="center"/>
          </w:tcPr>
          <w:p w14:paraId="2F40F3BD"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150.000</w:t>
            </w:r>
          </w:p>
        </w:tc>
        <w:tc>
          <w:tcPr>
            <w:tcW w:w="1547" w:type="dxa"/>
            <w:vAlign w:val="center"/>
          </w:tcPr>
          <w:p w14:paraId="69D36DE1"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350.000</w:t>
            </w:r>
          </w:p>
        </w:tc>
        <w:tc>
          <w:tcPr>
            <w:tcW w:w="1544" w:type="dxa"/>
            <w:vAlign w:val="center"/>
          </w:tcPr>
          <w:p w14:paraId="6F2B30DE"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4" w:type="dxa"/>
            <w:vAlign w:val="center"/>
          </w:tcPr>
          <w:p w14:paraId="66FEB692"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6" w:type="dxa"/>
            <w:vAlign w:val="center"/>
          </w:tcPr>
          <w:p w14:paraId="54AEFDE4"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w:t>
            </w:r>
          </w:p>
        </w:tc>
        <w:tc>
          <w:tcPr>
            <w:tcW w:w="2006" w:type="dxa"/>
            <w:vAlign w:val="center"/>
          </w:tcPr>
          <w:p w14:paraId="584F0186"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Индикативно; IPA III валидација</w:t>
            </w:r>
          </w:p>
        </w:tc>
      </w:tr>
      <w:tr w:rsidR="00FE200F" w14:paraId="6F4B3999" w14:textId="77777777">
        <w:trPr>
          <w:cantSplit/>
        </w:trPr>
        <w:tc>
          <w:tcPr>
            <w:tcW w:w="2721" w:type="dxa"/>
            <w:shd w:val="clear" w:color="auto" w:fill="D9EAF7"/>
            <w:vAlign w:val="center"/>
          </w:tcPr>
          <w:p w14:paraId="41BD0429"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b/>
                <w:sz w:val="16"/>
                <w:szCs w:val="16"/>
              </w:rPr>
              <w:t>Вкупно – Приоритетна област 1: Јавен сектор</w:t>
            </w:r>
          </w:p>
        </w:tc>
        <w:tc>
          <w:tcPr>
            <w:tcW w:w="1544" w:type="dxa"/>
            <w:shd w:val="clear" w:color="auto" w:fill="D9EAF7"/>
            <w:vAlign w:val="center"/>
          </w:tcPr>
          <w:p w14:paraId="0B557DAD"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b/>
                <w:sz w:val="16"/>
                <w:szCs w:val="16"/>
              </w:rPr>
              <w:t>1.300.000</w:t>
            </w:r>
          </w:p>
        </w:tc>
        <w:tc>
          <w:tcPr>
            <w:tcW w:w="1546" w:type="dxa"/>
            <w:shd w:val="clear" w:color="auto" w:fill="D9EAF7"/>
            <w:vAlign w:val="center"/>
          </w:tcPr>
          <w:p w14:paraId="69C31516"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b/>
                <w:sz w:val="16"/>
                <w:szCs w:val="16"/>
              </w:rPr>
              <w:t>525.000</w:t>
            </w:r>
          </w:p>
        </w:tc>
        <w:tc>
          <w:tcPr>
            <w:tcW w:w="1547" w:type="dxa"/>
            <w:shd w:val="clear" w:color="auto" w:fill="D9EAF7"/>
            <w:vAlign w:val="center"/>
          </w:tcPr>
          <w:p w14:paraId="7C0CD284"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b/>
                <w:sz w:val="16"/>
                <w:szCs w:val="16"/>
              </w:rPr>
              <w:t>700.000</w:t>
            </w:r>
          </w:p>
        </w:tc>
        <w:tc>
          <w:tcPr>
            <w:tcW w:w="1544" w:type="dxa"/>
            <w:shd w:val="clear" w:color="auto" w:fill="D9EAF7"/>
            <w:vAlign w:val="center"/>
          </w:tcPr>
          <w:p w14:paraId="12F516E1"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b/>
                <w:sz w:val="16"/>
                <w:szCs w:val="16"/>
              </w:rPr>
              <w:t>-</w:t>
            </w:r>
          </w:p>
        </w:tc>
        <w:tc>
          <w:tcPr>
            <w:tcW w:w="1544" w:type="dxa"/>
            <w:shd w:val="clear" w:color="auto" w:fill="D9EAF7"/>
            <w:vAlign w:val="center"/>
          </w:tcPr>
          <w:p w14:paraId="5F7B720E"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b/>
                <w:sz w:val="16"/>
                <w:szCs w:val="16"/>
              </w:rPr>
              <w:t>-</w:t>
            </w:r>
          </w:p>
        </w:tc>
        <w:tc>
          <w:tcPr>
            <w:tcW w:w="1546" w:type="dxa"/>
            <w:shd w:val="clear" w:color="auto" w:fill="D9EAF7"/>
            <w:vAlign w:val="center"/>
          </w:tcPr>
          <w:p w14:paraId="1DD36565"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b/>
                <w:sz w:val="16"/>
                <w:szCs w:val="16"/>
              </w:rPr>
              <w:t>75.000</w:t>
            </w:r>
          </w:p>
        </w:tc>
        <w:tc>
          <w:tcPr>
            <w:tcW w:w="2006" w:type="dxa"/>
            <w:shd w:val="clear" w:color="auto" w:fill="D9EAF7"/>
            <w:vAlign w:val="center"/>
          </w:tcPr>
          <w:p w14:paraId="51E59328"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b/>
                <w:sz w:val="16"/>
                <w:szCs w:val="16"/>
              </w:rPr>
              <w:t>Индикативно</w:t>
            </w:r>
          </w:p>
        </w:tc>
      </w:tr>
      <w:tr w:rsidR="00FE200F" w14:paraId="2365B1C0" w14:textId="77777777">
        <w:trPr>
          <w:cantSplit/>
        </w:trPr>
        <w:tc>
          <w:tcPr>
            <w:tcW w:w="2721" w:type="dxa"/>
            <w:vAlign w:val="center"/>
          </w:tcPr>
          <w:p w14:paraId="33ED9B25"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М2.1.1. Грантова шема за дигитална трансформација на МСП со ВИ</w:t>
            </w:r>
          </w:p>
        </w:tc>
        <w:tc>
          <w:tcPr>
            <w:tcW w:w="1544" w:type="dxa"/>
            <w:vAlign w:val="center"/>
          </w:tcPr>
          <w:p w14:paraId="3D6597F5"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1.500.000</w:t>
            </w:r>
          </w:p>
        </w:tc>
        <w:tc>
          <w:tcPr>
            <w:tcW w:w="1546" w:type="dxa"/>
            <w:vAlign w:val="center"/>
          </w:tcPr>
          <w:p w14:paraId="7D8370B6"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300.000</w:t>
            </w:r>
          </w:p>
        </w:tc>
        <w:tc>
          <w:tcPr>
            <w:tcW w:w="1547" w:type="dxa"/>
            <w:vAlign w:val="center"/>
          </w:tcPr>
          <w:p w14:paraId="3687E6BC"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900.000</w:t>
            </w:r>
          </w:p>
        </w:tc>
        <w:tc>
          <w:tcPr>
            <w:tcW w:w="1544" w:type="dxa"/>
            <w:vAlign w:val="center"/>
          </w:tcPr>
          <w:p w14:paraId="16AB9470"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300.000</w:t>
            </w:r>
          </w:p>
        </w:tc>
        <w:tc>
          <w:tcPr>
            <w:tcW w:w="1544" w:type="dxa"/>
            <w:vAlign w:val="center"/>
          </w:tcPr>
          <w:p w14:paraId="4F6A53DE"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6" w:type="dxa"/>
            <w:vAlign w:val="center"/>
          </w:tcPr>
          <w:p w14:paraId="3D205AEB"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w:t>
            </w:r>
          </w:p>
        </w:tc>
        <w:tc>
          <w:tcPr>
            <w:tcW w:w="2006" w:type="dxa"/>
            <w:vAlign w:val="center"/>
          </w:tcPr>
          <w:p w14:paraId="1D4CB919"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Индикативно; ИНОВА и IPA III валидација</w:t>
            </w:r>
          </w:p>
        </w:tc>
      </w:tr>
      <w:tr w:rsidR="00FE200F" w14:paraId="17869057" w14:textId="77777777">
        <w:trPr>
          <w:cantSplit/>
        </w:trPr>
        <w:tc>
          <w:tcPr>
            <w:tcW w:w="2721" w:type="dxa"/>
            <w:vAlign w:val="center"/>
          </w:tcPr>
          <w:p w14:paraId="0F60D909"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М2.1.2. Менторска и консултантска поддршка за МСП</w:t>
            </w:r>
          </w:p>
        </w:tc>
        <w:tc>
          <w:tcPr>
            <w:tcW w:w="1544" w:type="dxa"/>
            <w:vAlign w:val="center"/>
          </w:tcPr>
          <w:p w14:paraId="1172F049"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120.000</w:t>
            </w:r>
          </w:p>
        </w:tc>
        <w:tc>
          <w:tcPr>
            <w:tcW w:w="1546" w:type="dxa"/>
            <w:vAlign w:val="center"/>
          </w:tcPr>
          <w:p w14:paraId="0178D4F9"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60.000</w:t>
            </w:r>
          </w:p>
        </w:tc>
        <w:tc>
          <w:tcPr>
            <w:tcW w:w="1547" w:type="dxa"/>
            <w:vAlign w:val="center"/>
          </w:tcPr>
          <w:p w14:paraId="138F0DA1"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4" w:type="dxa"/>
            <w:vAlign w:val="center"/>
          </w:tcPr>
          <w:p w14:paraId="720AA3AA"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4" w:type="dxa"/>
            <w:vAlign w:val="center"/>
          </w:tcPr>
          <w:p w14:paraId="1D35B5B8"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6" w:type="dxa"/>
            <w:vAlign w:val="center"/>
          </w:tcPr>
          <w:p w14:paraId="308926CA"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Донатори: 60.000</w:t>
            </w:r>
          </w:p>
        </w:tc>
        <w:tc>
          <w:tcPr>
            <w:tcW w:w="2006" w:type="dxa"/>
            <w:vAlign w:val="center"/>
          </w:tcPr>
          <w:p w14:paraId="18A1F026"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Донаторскиот дел е предмет на потврда</w:t>
            </w:r>
          </w:p>
        </w:tc>
      </w:tr>
      <w:tr w:rsidR="00FE200F" w14:paraId="3581307B" w14:textId="77777777">
        <w:trPr>
          <w:cantSplit/>
        </w:trPr>
        <w:tc>
          <w:tcPr>
            <w:tcW w:w="2721" w:type="dxa"/>
            <w:vAlign w:val="center"/>
          </w:tcPr>
          <w:p w14:paraId="205C055E"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М2.2.1. ВИ акцелераторска програма и инвестициски фонд</w:t>
            </w:r>
          </w:p>
        </w:tc>
        <w:tc>
          <w:tcPr>
            <w:tcW w:w="1544" w:type="dxa"/>
            <w:vAlign w:val="center"/>
          </w:tcPr>
          <w:p w14:paraId="05469DA0"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2.000.000</w:t>
            </w:r>
          </w:p>
        </w:tc>
        <w:tc>
          <w:tcPr>
            <w:tcW w:w="1546" w:type="dxa"/>
            <w:vAlign w:val="center"/>
          </w:tcPr>
          <w:p w14:paraId="0119B8A1"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500.000</w:t>
            </w:r>
          </w:p>
        </w:tc>
        <w:tc>
          <w:tcPr>
            <w:tcW w:w="1547" w:type="dxa"/>
            <w:vAlign w:val="center"/>
          </w:tcPr>
          <w:p w14:paraId="52CCA020"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1.000.000</w:t>
            </w:r>
          </w:p>
        </w:tc>
        <w:tc>
          <w:tcPr>
            <w:tcW w:w="1544" w:type="dxa"/>
            <w:vAlign w:val="center"/>
          </w:tcPr>
          <w:p w14:paraId="0F27C8D7"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4" w:type="dxa"/>
            <w:vAlign w:val="center"/>
          </w:tcPr>
          <w:p w14:paraId="04509D8D"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6" w:type="dxa"/>
            <w:vAlign w:val="center"/>
          </w:tcPr>
          <w:p w14:paraId="23B8DB9A"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Донатори: 500.000</w:t>
            </w:r>
          </w:p>
        </w:tc>
        <w:tc>
          <w:tcPr>
            <w:tcW w:w="2006" w:type="dxa"/>
            <w:vAlign w:val="center"/>
          </w:tcPr>
          <w:p w14:paraId="05CD7153"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Индикативно; IPA III и донатори валидација</w:t>
            </w:r>
          </w:p>
        </w:tc>
      </w:tr>
      <w:tr w:rsidR="00FE200F" w14:paraId="24061257" w14:textId="77777777">
        <w:trPr>
          <w:cantSplit/>
        </w:trPr>
        <w:tc>
          <w:tcPr>
            <w:tcW w:w="2721" w:type="dxa"/>
            <w:vAlign w:val="center"/>
          </w:tcPr>
          <w:p w14:paraId="382DA26B"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М2.3.1. Промотивна кампања и инвестициски пакети за ВИ</w:t>
            </w:r>
          </w:p>
        </w:tc>
        <w:tc>
          <w:tcPr>
            <w:tcW w:w="1544" w:type="dxa"/>
            <w:vAlign w:val="center"/>
          </w:tcPr>
          <w:p w14:paraId="49BCC481"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250.000</w:t>
            </w:r>
          </w:p>
        </w:tc>
        <w:tc>
          <w:tcPr>
            <w:tcW w:w="1546" w:type="dxa"/>
            <w:vAlign w:val="center"/>
          </w:tcPr>
          <w:p w14:paraId="69CB5656"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250.000</w:t>
            </w:r>
          </w:p>
        </w:tc>
        <w:tc>
          <w:tcPr>
            <w:tcW w:w="1547" w:type="dxa"/>
            <w:vAlign w:val="center"/>
          </w:tcPr>
          <w:p w14:paraId="38BC1A67"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4" w:type="dxa"/>
            <w:vAlign w:val="center"/>
          </w:tcPr>
          <w:p w14:paraId="234DB03F"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4" w:type="dxa"/>
            <w:vAlign w:val="center"/>
          </w:tcPr>
          <w:p w14:paraId="766F17A8"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6" w:type="dxa"/>
            <w:vAlign w:val="center"/>
          </w:tcPr>
          <w:p w14:paraId="1EEB7FC5"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w:t>
            </w:r>
          </w:p>
        </w:tc>
        <w:tc>
          <w:tcPr>
            <w:tcW w:w="2006" w:type="dxa"/>
            <w:vAlign w:val="center"/>
          </w:tcPr>
          <w:p w14:paraId="4B916615"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Индикативно; буџетска валидација</w:t>
            </w:r>
          </w:p>
        </w:tc>
      </w:tr>
      <w:tr w:rsidR="00FE200F" w14:paraId="266F5614" w14:textId="77777777">
        <w:trPr>
          <w:cantSplit/>
        </w:trPr>
        <w:tc>
          <w:tcPr>
            <w:tcW w:w="2721" w:type="dxa"/>
            <w:vAlign w:val="center"/>
          </w:tcPr>
          <w:p w14:paraId="17FA5DDD"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М2.3.2 Грантови за секторски ВИ иновации („Зелена ВИ")</w:t>
            </w:r>
          </w:p>
        </w:tc>
        <w:tc>
          <w:tcPr>
            <w:tcW w:w="1544" w:type="dxa"/>
            <w:vAlign w:val="center"/>
          </w:tcPr>
          <w:p w14:paraId="7AEF9AFB"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1.500.000</w:t>
            </w:r>
          </w:p>
        </w:tc>
        <w:tc>
          <w:tcPr>
            <w:tcW w:w="1546" w:type="dxa"/>
            <w:vAlign w:val="center"/>
          </w:tcPr>
          <w:p w14:paraId="55199C1F"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450.000</w:t>
            </w:r>
          </w:p>
        </w:tc>
        <w:tc>
          <w:tcPr>
            <w:tcW w:w="1547" w:type="dxa"/>
            <w:vAlign w:val="center"/>
          </w:tcPr>
          <w:p w14:paraId="528744BA"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1.050.000</w:t>
            </w:r>
          </w:p>
        </w:tc>
        <w:tc>
          <w:tcPr>
            <w:tcW w:w="1544" w:type="dxa"/>
            <w:vAlign w:val="center"/>
          </w:tcPr>
          <w:p w14:paraId="2A6469E4"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4" w:type="dxa"/>
            <w:vAlign w:val="center"/>
          </w:tcPr>
          <w:p w14:paraId="693F0CE4"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6" w:type="dxa"/>
            <w:vAlign w:val="center"/>
          </w:tcPr>
          <w:p w14:paraId="32DE8875"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w:t>
            </w:r>
          </w:p>
        </w:tc>
        <w:tc>
          <w:tcPr>
            <w:tcW w:w="2006" w:type="dxa"/>
            <w:vAlign w:val="center"/>
          </w:tcPr>
          <w:p w14:paraId="1E25AD20"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Индикативно; IPA III валидација</w:t>
            </w:r>
          </w:p>
        </w:tc>
      </w:tr>
      <w:tr w:rsidR="00FE200F" w14:paraId="6D3B3888" w14:textId="77777777">
        <w:trPr>
          <w:cantSplit/>
        </w:trPr>
        <w:tc>
          <w:tcPr>
            <w:tcW w:w="2721" w:type="dxa"/>
            <w:shd w:val="clear" w:color="auto" w:fill="D9EAF7"/>
            <w:vAlign w:val="center"/>
          </w:tcPr>
          <w:p w14:paraId="1846129D"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b/>
                <w:sz w:val="16"/>
                <w:szCs w:val="16"/>
              </w:rPr>
              <w:t>Вкупно – Приоритетна област 2: Економија и индустрија</w:t>
            </w:r>
          </w:p>
        </w:tc>
        <w:tc>
          <w:tcPr>
            <w:tcW w:w="1544" w:type="dxa"/>
            <w:shd w:val="clear" w:color="auto" w:fill="D9EAF7"/>
            <w:vAlign w:val="center"/>
          </w:tcPr>
          <w:p w14:paraId="5344C03D"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b/>
                <w:sz w:val="16"/>
                <w:szCs w:val="16"/>
              </w:rPr>
              <w:t>5.370.000</w:t>
            </w:r>
          </w:p>
        </w:tc>
        <w:tc>
          <w:tcPr>
            <w:tcW w:w="1546" w:type="dxa"/>
            <w:shd w:val="clear" w:color="auto" w:fill="D9EAF7"/>
            <w:vAlign w:val="center"/>
          </w:tcPr>
          <w:p w14:paraId="0F8FCEA3"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b/>
                <w:sz w:val="16"/>
                <w:szCs w:val="16"/>
              </w:rPr>
              <w:t>1.560.000</w:t>
            </w:r>
          </w:p>
        </w:tc>
        <w:tc>
          <w:tcPr>
            <w:tcW w:w="1547" w:type="dxa"/>
            <w:shd w:val="clear" w:color="auto" w:fill="D9EAF7"/>
            <w:vAlign w:val="center"/>
          </w:tcPr>
          <w:p w14:paraId="1AF6FAF7"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b/>
                <w:sz w:val="16"/>
                <w:szCs w:val="16"/>
              </w:rPr>
              <w:t>2.950.000</w:t>
            </w:r>
          </w:p>
        </w:tc>
        <w:tc>
          <w:tcPr>
            <w:tcW w:w="1544" w:type="dxa"/>
            <w:shd w:val="clear" w:color="auto" w:fill="D9EAF7"/>
            <w:vAlign w:val="center"/>
          </w:tcPr>
          <w:p w14:paraId="10068E9B"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b/>
                <w:sz w:val="16"/>
                <w:szCs w:val="16"/>
              </w:rPr>
              <w:t>300.000</w:t>
            </w:r>
          </w:p>
        </w:tc>
        <w:tc>
          <w:tcPr>
            <w:tcW w:w="1544" w:type="dxa"/>
            <w:shd w:val="clear" w:color="auto" w:fill="D9EAF7"/>
            <w:vAlign w:val="center"/>
          </w:tcPr>
          <w:p w14:paraId="66997E9D"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b/>
                <w:sz w:val="16"/>
                <w:szCs w:val="16"/>
              </w:rPr>
              <w:t>-</w:t>
            </w:r>
          </w:p>
        </w:tc>
        <w:tc>
          <w:tcPr>
            <w:tcW w:w="1546" w:type="dxa"/>
            <w:shd w:val="clear" w:color="auto" w:fill="D9EAF7"/>
            <w:vAlign w:val="center"/>
          </w:tcPr>
          <w:p w14:paraId="299B309E"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b/>
                <w:sz w:val="16"/>
                <w:szCs w:val="16"/>
              </w:rPr>
              <w:t>560.000</w:t>
            </w:r>
          </w:p>
        </w:tc>
        <w:tc>
          <w:tcPr>
            <w:tcW w:w="2006" w:type="dxa"/>
            <w:shd w:val="clear" w:color="auto" w:fill="D9EAF7"/>
            <w:vAlign w:val="center"/>
          </w:tcPr>
          <w:p w14:paraId="41A4E03C"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b/>
                <w:sz w:val="16"/>
                <w:szCs w:val="16"/>
              </w:rPr>
              <w:t>Индикативно</w:t>
            </w:r>
          </w:p>
        </w:tc>
      </w:tr>
      <w:tr w:rsidR="00FE200F" w14:paraId="449FDCF8" w14:textId="77777777">
        <w:trPr>
          <w:cantSplit/>
        </w:trPr>
        <w:tc>
          <w:tcPr>
            <w:tcW w:w="2721" w:type="dxa"/>
            <w:vAlign w:val="center"/>
          </w:tcPr>
          <w:p w14:paraId="13F4B856"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lastRenderedPageBreak/>
              <w:t>М3.1.1. Интеграција на ВИ во наставните програми</w:t>
            </w:r>
          </w:p>
        </w:tc>
        <w:tc>
          <w:tcPr>
            <w:tcW w:w="1544" w:type="dxa"/>
            <w:vAlign w:val="center"/>
          </w:tcPr>
          <w:p w14:paraId="2E50898B"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400.000</w:t>
            </w:r>
          </w:p>
        </w:tc>
        <w:tc>
          <w:tcPr>
            <w:tcW w:w="1546" w:type="dxa"/>
            <w:vAlign w:val="center"/>
          </w:tcPr>
          <w:p w14:paraId="62B96C37"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200.000</w:t>
            </w:r>
          </w:p>
        </w:tc>
        <w:tc>
          <w:tcPr>
            <w:tcW w:w="1547" w:type="dxa"/>
            <w:vAlign w:val="center"/>
          </w:tcPr>
          <w:p w14:paraId="7E796832"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4" w:type="dxa"/>
            <w:vAlign w:val="center"/>
          </w:tcPr>
          <w:p w14:paraId="129F4DCA"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4" w:type="dxa"/>
            <w:vAlign w:val="center"/>
          </w:tcPr>
          <w:p w14:paraId="0477E905"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6" w:type="dxa"/>
            <w:vAlign w:val="center"/>
          </w:tcPr>
          <w:p w14:paraId="073325DC"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 xml:space="preserve">Донатори: </w:t>
            </w:r>
            <w:r>
              <w:rPr>
                <w:rFonts w:ascii="Times New Roman" w:eastAsia="Arial" w:hAnsi="Times New Roman" w:cs="Times New Roman"/>
                <w:sz w:val="16"/>
                <w:szCs w:val="16"/>
              </w:rPr>
              <w:t>200.000</w:t>
            </w:r>
          </w:p>
        </w:tc>
        <w:tc>
          <w:tcPr>
            <w:tcW w:w="2006" w:type="dxa"/>
            <w:vAlign w:val="center"/>
          </w:tcPr>
          <w:p w14:paraId="50400F82"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Донаторскиот дел е предмет на потврда</w:t>
            </w:r>
          </w:p>
        </w:tc>
      </w:tr>
      <w:tr w:rsidR="00FE200F" w14:paraId="48A0A26A" w14:textId="77777777">
        <w:trPr>
          <w:cantSplit/>
        </w:trPr>
        <w:tc>
          <w:tcPr>
            <w:tcW w:w="2721" w:type="dxa"/>
            <w:vAlign w:val="center"/>
          </w:tcPr>
          <w:p w14:paraId="43ED01C4"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М3.1.2. Стипендии за студенти на ВИ програми</w:t>
            </w:r>
          </w:p>
        </w:tc>
        <w:tc>
          <w:tcPr>
            <w:tcW w:w="1544" w:type="dxa"/>
            <w:vAlign w:val="center"/>
          </w:tcPr>
          <w:p w14:paraId="766996B7"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300.000</w:t>
            </w:r>
          </w:p>
        </w:tc>
        <w:tc>
          <w:tcPr>
            <w:tcW w:w="1546" w:type="dxa"/>
            <w:vAlign w:val="center"/>
          </w:tcPr>
          <w:p w14:paraId="4BC7D481"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300.000</w:t>
            </w:r>
          </w:p>
        </w:tc>
        <w:tc>
          <w:tcPr>
            <w:tcW w:w="1547" w:type="dxa"/>
            <w:vAlign w:val="center"/>
          </w:tcPr>
          <w:p w14:paraId="4C30339A"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4" w:type="dxa"/>
            <w:vAlign w:val="center"/>
          </w:tcPr>
          <w:p w14:paraId="70387382"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4" w:type="dxa"/>
            <w:vAlign w:val="center"/>
          </w:tcPr>
          <w:p w14:paraId="40B436E4"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6" w:type="dxa"/>
            <w:vAlign w:val="center"/>
          </w:tcPr>
          <w:p w14:paraId="5CAA9B9F"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w:t>
            </w:r>
          </w:p>
        </w:tc>
        <w:tc>
          <w:tcPr>
            <w:tcW w:w="2006" w:type="dxa"/>
            <w:vAlign w:val="center"/>
          </w:tcPr>
          <w:p w14:paraId="182117F4"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Индикативно; буџетска валидација</w:t>
            </w:r>
          </w:p>
        </w:tc>
      </w:tr>
      <w:tr w:rsidR="00FE200F" w14:paraId="0796FB3F" w14:textId="77777777">
        <w:trPr>
          <w:cantSplit/>
        </w:trPr>
        <w:tc>
          <w:tcPr>
            <w:tcW w:w="2721" w:type="dxa"/>
            <w:vAlign w:val="center"/>
          </w:tcPr>
          <w:p w14:paraId="55838DE1"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М3.2.1. Финансирање на ВИ истражувачки проекти</w:t>
            </w:r>
          </w:p>
        </w:tc>
        <w:tc>
          <w:tcPr>
            <w:tcW w:w="1544" w:type="dxa"/>
            <w:vAlign w:val="center"/>
          </w:tcPr>
          <w:p w14:paraId="32E6D49E"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1.500.000</w:t>
            </w:r>
          </w:p>
        </w:tc>
        <w:tc>
          <w:tcPr>
            <w:tcW w:w="1546" w:type="dxa"/>
            <w:vAlign w:val="center"/>
          </w:tcPr>
          <w:p w14:paraId="5C77901B"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300.000</w:t>
            </w:r>
          </w:p>
        </w:tc>
        <w:tc>
          <w:tcPr>
            <w:tcW w:w="1547" w:type="dxa"/>
            <w:vAlign w:val="center"/>
          </w:tcPr>
          <w:p w14:paraId="71E04C6C"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600.000</w:t>
            </w:r>
          </w:p>
        </w:tc>
        <w:tc>
          <w:tcPr>
            <w:tcW w:w="1544" w:type="dxa"/>
            <w:vAlign w:val="center"/>
          </w:tcPr>
          <w:p w14:paraId="44E0CBA9"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4" w:type="dxa"/>
            <w:vAlign w:val="center"/>
          </w:tcPr>
          <w:p w14:paraId="7EF1F8F8"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600.000</w:t>
            </w:r>
          </w:p>
        </w:tc>
        <w:tc>
          <w:tcPr>
            <w:tcW w:w="1546" w:type="dxa"/>
            <w:vAlign w:val="center"/>
          </w:tcPr>
          <w:p w14:paraId="23E9357C"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w:t>
            </w:r>
          </w:p>
        </w:tc>
        <w:tc>
          <w:tcPr>
            <w:tcW w:w="2006" w:type="dxa"/>
            <w:vAlign w:val="center"/>
          </w:tcPr>
          <w:p w14:paraId="44B5A565"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 xml:space="preserve">Индикативно; IPA III </w:t>
            </w:r>
            <w:r>
              <w:rPr>
                <w:rFonts w:ascii="Times New Roman" w:eastAsia="Arial" w:hAnsi="Times New Roman" w:cs="Times New Roman"/>
                <w:sz w:val="16"/>
                <w:szCs w:val="16"/>
              </w:rPr>
              <w:t>/ Horizon Europe валидација</w:t>
            </w:r>
          </w:p>
        </w:tc>
      </w:tr>
      <w:tr w:rsidR="00FE200F" w14:paraId="7B7CE7E0" w14:textId="77777777">
        <w:trPr>
          <w:cantSplit/>
        </w:trPr>
        <w:tc>
          <w:tcPr>
            <w:tcW w:w="2721" w:type="dxa"/>
            <w:vAlign w:val="center"/>
          </w:tcPr>
          <w:p w14:paraId="46315469"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М3.2.2 Развој на македонски јазични модели (LLM) и NLP алатки</w:t>
            </w:r>
          </w:p>
        </w:tc>
        <w:tc>
          <w:tcPr>
            <w:tcW w:w="1544" w:type="dxa"/>
            <w:vAlign w:val="center"/>
          </w:tcPr>
          <w:p w14:paraId="6D8026A5"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800.000</w:t>
            </w:r>
          </w:p>
        </w:tc>
        <w:tc>
          <w:tcPr>
            <w:tcW w:w="1546" w:type="dxa"/>
            <w:vAlign w:val="center"/>
          </w:tcPr>
          <w:p w14:paraId="6857745C"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400.000</w:t>
            </w:r>
          </w:p>
        </w:tc>
        <w:tc>
          <w:tcPr>
            <w:tcW w:w="1547" w:type="dxa"/>
            <w:vAlign w:val="center"/>
          </w:tcPr>
          <w:p w14:paraId="7E17E754"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4" w:type="dxa"/>
            <w:vAlign w:val="center"/>
          </w:tcPr>
          <w:p w14:paraId="76126FA8"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4" w:type="dxa"/>
            <w:vAlign w:val="center"/>
          </w:tcPr>
          <w:p w14:paraId="3C5280AF"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400.000</w:t>
            </w:r>
          </w:p>
        </w:tc>
        <w:tc>
          <w:tcPr>
            <w:tcW w:w="1546" w:type="dxa"/>
            <w:vAlign w:val="center"/>
          </w:tcPr>
          <w:p w14:paraId="441F8EC5"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w:t>
            </w:r>
          </w:p>
        </w:tc>
        <w:tc>
          <w:tcPr>
            <w:tcW w:w="2006" w:type="dxa"/>
            <w:vAlign w:val="center"/>
          </w:tcPr>
          <w:p w14:paraId="09B4E334"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Индикативно; EuroHPC валидација</w:t>
            </w:r>
          </w:p>
        </w:tc>
      </w:tr>
      <w:tr w:rsidR="00FE200F" w14:paraId="47726A47" w14:textId="77777777">
        <w:trPr>
          <w:cantSplit/>
        </w:trPr>
        <w:tc>
          <w:tcPr>
            <w:tcW w:w="2721" w:type="dxa"/>
            <w:vAlign w:val="center"/>
          </w:tcPr>
          <w:p w14:paraId="01D8801A"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М3.3.1 Програми за преквалификација и ВИ вештини</w:t>
            </w:r>
          </w:p>
        </w:tc>
        <w:tc>
          <w:tcPr>
            <w:tcW w:w="1544" w:type="dxa"/>
            <w:vAlign w:val="center"/>
          </w:tcPr>
          <w:p w14:paraId="69B7255B"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250.000</w:t>
            </w:r>
          </w:p>
        </w:tc>
        <w:tc>
          <w:tcPr>
            <w:tcW w:w="1546" w:type="dxa"/>
            <w:vAlign w:val="center"/>
          </w:tcPr>
          <w:p w14:paraId="322111F1"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75.000</w:t>
            </w:r>
          </w:p>
        </w:tc>
        <w:tc>
          <w:tcPr>
            <w:tcW w:w="1547" w:type="dxa"/>
            <w:vAlign w:val="center"/>
          </w:tcPr>
          <w:p w14:paraId="39BA1B06"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175.000</w:t>
            </w:r>
          </w:p>
        </w:tc>
        <w:tc>
          <w:tcPr>
            <w:tcW w:w="1544" w:type="dxa"/>
            <w:vAlign w:val="center"/>
          </w:tcPr>
          <w:p w14:paraId="33AB922B"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4" w:type="dxa"/>
            <w:vAlign w:val="center"/>
          </w:tcPr>
          <w:p w14:paraId="58133F0E"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6" w:type="dxa"/>
            <w:vAlign w:val="center"/>
          </w:tcPr>
          <w:p w14:paraId="7566E834"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w:t>
            </w:r>
          </w:p>
        </w:tc>
        <w:tc>
          <w:tcPr>
            <w:tcW w:w="2006" w:type="dxa"/>
            <w:vAlign w:val="center"/>
          </w:tcPr>
          <w:p w14:paraId="07E71738"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 xml:space="preserve">Индикативно; IPA III </w:t>
            </w:r>
            <w:r>
              <w:rPr>
                <w:rFonts w:ascii="Times New Roman" w:eastAsia="Arial" w:hAnsi="Times New Roman" w:cs="Times New Roman"/>
                <w:sz w:val="16"/>
                <w:szCs w:val="16"/>
              </w:rPr>
              <w:t>валидација</w:t>
            </w:r>
          </w:p>
        </w:tc>
      </w:tr>
      <w:tr w:rsidR="00FE200F" w14:paraId="7B0BF52B" w14:textId="77777777">
        <w:trPr>
          <w:cantSplit/>
        </w:trPr>
        <w:tc>
          <w:tcPr>
            <w:tcW w:w="2721" w:type="dxa"/>
            <w:shd w:val="clear" w:color="auto" w:fill="D9EAF7"/>
            <w:vAlign w:val="center"/>
          </w:tcPr>
          <w:p w14:paraId="0B6402B5"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b/>
                <w:sz w:val="16"/>
                <w:szCs w:val="16"/>
              </w:rPr>
              <w:t>Вкупно – Приоритетна област 3: Образование и наука</w:t>
            </w:r>
          </w:p>
        </w:tc>
        <w:tc>
          <w:tcPr>
            <w:tcW w:w="1544" w:type="dxa"/>
            <w:shd w:val="clear" w:color="auto" w:fill="D9EAF7"/>
            <w:vAlign w:val="center"/>
          </w:tcPr>
          <w:p w14:paraId="16C89639"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b/>
                <w:sz w:val="16"/>
                <w:szCs w:val="16"/>
              </w:rPr>
              <w:t>3.250.000</w:t>
            </w:r>
          </w:p>
        </w:tc>
        <w:tc>
          <w:tcPr>
            <w:tcW w:w="1546" w:type="dxa"/>
            <w:shd w:val="clear" w:color="auto" w:fill="D9EAF7"/>
            <w:vAlign w:val="center"/>
          </w:tcPr>
          <w:p w14:paraId="2837D297"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b/>
                <w:sz w:val="16"/>
                <w:szCs w:val="16"/>
              </w:rPr>
              <w:t>1.275.000</w:t>
            </w:r>
          </w:p>
        </w:tc>
        <w:tc>
          <w:tcPr>
            <w:tcW w:w="1547" w:type="dxa"/>
            <w:shd w:val="clear" w:color="auto" w:fill="D9EAF7"/>
            <w:vAlign w:val="center"/>
          </w:tcPr>
          <w:p w14:paraId="0096A215"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b/>
                <w:sz w:val="16"/>
                <w:szCs w:val="16"/>
              </w:rPr>
              <w:t>775.000</w:t>
            </w:r>
          </w:p>
        </w:tc>
        <w:tc>
          <w:tcPr>
            <w:tcW w:w="1544" w:type="dxa"/>
            <w:shd w:val="clear" w:color="auto" w:fill="D9EAF7"/>
            <w:vAlign w:val="center"/>
          </w:tcPr>
          <w:p w14:paraId="2DD4AE16"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b/>
                <w:sz w:val="16"/>
                <w:szCs w:val="16"/>
              </w:rPr>
              <w:t>-</w:t>
            </w:r>
          </w:p>
        </w:tc>
        <w:tc>
          <w:tcPr>
            <w:tcW w:w="1544" w:type="dxa"/>
            <w:shd w:val="clear" w:color="auto" w:fill="D9EAF7"/>
            <w:vAlign w:val="center"/>
          </w:tcPr>
          <w:p w14:paraId="53274D25"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b/>
                <w:sz w:val="16"/>
                <w:szCs w:val="16"/>
              </w:rPr>
              <w:t>1.000.000</w:t>
            </w:r>
          </w:p>
        </w:tc>
        <w:tc>
          <w:tcPr>
            <w:tcW w:w="1546" w:type="dxa"/>
            <w:shd w:val="clear" w:color="auto" w:fill="D9EAF7"/>
            <w:vAlign w:val="center"/>
          </w:tcPr>
          <w:p w14:paraId="25C770E7"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b/>
                <w:sz w:val="16"/>
                <w:szCs w:val="16"/>
              </w:rPr>
              <w:t>200.000</w:t>
            </w:r>
          </w:p>
        </w:tc>
        <w:tc>
          <w:tcPr>
            <w:tcW w:w="2006" w:type="dxa"/>
            <w:shd w:val="clear" w:color="auto" w:fill="D9EAF7"/>
            <w:vAlign w:val="center"/>
          </w:tcPr>
          <w:p w14:paraId="6F4311BA"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b/>
                <w:sz w:val="16"/>
                <w:szCs w:val="16"/>
              </w:rPr>
              <w:t>Индикативно</w:t>
            </w:r>
          </w:p>
        </w:tc>
      </w:tr>
      <w:tr w:rsidR="00FE200F" w14:paraId="50A2CCF3" w14:textId="77777777">
        <w:trPr>
          <w:cantSplit/>
        </w:trPr>
        <w:tc>
          <w:tcPr>
            <w:tcW w:w="2721" w:type="dxa"/>
            <w:vAlign w:val="center"/>
          </w:tcPr>
          <w:p w14:paraId="14C96258"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М4.1.1 Надградба на националната HPC инфраструктура „Везилка"</w:t>
            </w:r>
          </w:p>
        </w:tc>
        <w:tc>
          <w:tcPr>
            <w:tcW w:w="1544" w:type="dxa"/>
            <w:vAlign w:val="center"/>
          </w:tcPr>
          <w:p w14:paraId="0CCE76DB"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3.000.000</w:t>
            </w:r>
          </w:p>
        </w:tc>
        <w:tc>
          <w:tcPr>
            <w:tcW w:w="1546" w:type="dxa"/>
            <w:vAlign w:val="center"/>
          </w:tcPr>
          <w:p w14:paraId="67B25B77"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600.000</w:t>
            </w:r>
          </w:p>
        </w:tc>
        <w:tc>
          <w:tcPr>
            <w:tcW w:w="1547" w:type="dxa"/>
            <w:vAlign w:val="center"/>
          </w:tcPr>
          <w:p w14:paraId="406BCF01"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900.000</w:t>
            </w:r>
          </w:p>
        </w:tc>
        <w:tc>
          <w:tcPr>
            <w:tcW w:w="1544" w:type="dxa"/>
            <w:vAlign w:val="center"/>
          </w:tcPr>
          <w:p w14:paraId="02F12CFD"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4" w:type="dxa"/>
            <w:vAlign w:val="center"/>
          </w:tcPr>
          <w:p w14:paraId="79578E4B"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1.500.000</w:t>
            </w:r>
          </w:p>
        </w:tc>
        <w:tc>
          <w:tcPr>
            <w:tcW w:w="1546" w:type="dxa"/>
            <w:vAlign w:val="center"/>
          </w:tcPr>
          <w:p w14:paraId="2EFACFC8"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w:t>
            </w:r>
          </w:p>
        </w:tc>
        <w:tc>
          <w:tcPr>
            <w:tcW w:w="2006" w:type="dxa"/>
            <w:vAlign w:val="center"/>
          </w:tcPr>
          <w:p w14:paraId="6701F1B6"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 xml:space="preserve">Индикативно; EuroHPC JU / IPA </w:t>
            </w:r>
            <w:r>
              <w:rPr>
                <w:rFonts w:ascii="Times New Roman" w:eastAsia="Arial" w:hAnsi="Times New Roman" w:cs="Times New Roman"/>
                <w:sz w:val="16"/>
                <w:szCs w:val="16"/>
              </w:rPr>
              <w:t>III валидација</w:t>
            </w:r>
          </w:p>
        </w:tc>
      </w:tr>
      <w:tr w:rsidR="00FE200F" w14:paraId="3AEB12CC" w14:textId="77777777">
        <w:trPr>
          <w:cantSplit/>
        </w:trPr>
        <w:tc>
          <w:tcPr>
            <w:tcW w:w="2721" w:type="dxa"/>
            <w:vAlign w:val="center"/>
          </w:tcPr>
          <w:p w14:paraId="109D6D75"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М4.1.2. Пристап до HPC за МСП и истражувачи</w:t>
            </w:r>
          </w:p>
        </w:tc>
        <w:tc>
          <w:tcPr>
            <w:tcW w:w="1544" w:type="dxa"/>
            <w:vAlign w:val="center"/>
          </w:tcPr>
          <w:p w14:paraId="027CD98E"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200.000</w:t>
            </w:r>
          </w:p>
        </w:tc>
        <w:tc>
          <w:tcPr>
            <w:tcW w:w="1546" w:type="dxa"/>
            <w:vAlign w:val="center"/>
          </w:tcPr>
          <w:p w14:paraId="0AB2CAF8"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200.000</w:t>
            </w:r>
          </w:p>
        </w:tc>
        <w:tc>
          <w:tcPr>
            <w:tcW w:w="1547" w:type="dxa"/>
            <w:vAlign w:val="center"/>
          </w:tcPr>
          <w:p w14:paraId="08215049"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4" w:type="dxa"/>
            <w:vAlign w:val="center"/>
          </w:tcPr>
          <w:p w14:paraId="0111AFDE"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4" w:type="dxa"/>
            <w:vAlign w:val="center"/>
          </w:tcPr>
          <w:p w14:paraId="1E949A71"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6" w:type="dxa"/>
            <w:vAlign w:val="center"/>
          </w:tcPr>
          <w:p w14:paraId="45F595DE"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w:t>
            </w:r>
          </w:p>
        </w:tc>
        <w:tc>
          <w:tcPr>
            <w:tcW w:w="2006" w:type="dxa"/>
            <w:vAlign w:val="center"/>
          </w:tcPr>
          <w:p w14:paraId="79833DE9"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Индикативно; буџетска валидација</w:t>
            </w:r>
          </w:p>
        </w:tc>
      </w:tr>
      <w:tr w:rsidR="00FE200F" w14:paraId="371A94C7" w14:textId="77777777">
        <w:trPr>
          <w:cantSplit/>
        </w:trPr>
        <w:tc>
          <w:tcPr>
            <w:tcW w:w="2721" w:type="dxa"/>
            <w:vAlign w:val="center"/>
          </w:tcPr>
          <w:p w14:paraId="673CFF63"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М4.2.1 Проширување на порталот за отворени податоци</w:t>
            </w:r>
          </w:p>
        </w:tc>
        <w:tc>
          <w:tcPr>
            <w:tcW w:w="1544" w:type="dxa"/>
            <w:vAlign w:val="center"/>
          </w:tcPr>
          <w:p w14:paraId="2A1E6CA8"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150.000</w:t>
            </w:r>
          </w:p>
        </w:tc>
        <w:tc>
          <w:tcPr>
            <w:tcW w:w="1546" w:type="dxa"/>
            <w:vAlign w:val="center"/>
          </w:tcPr>
          <w:p w14:paraId="6C3B2DE3"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150.000</w:t>
            </w:r>
          </w:p>
        </w:tc>
        <w:tc>
          <w:tcPr>
            <w:tcW w:w="1547" w:type="dxa"/>
            <w:vAlign w:val="center"/>
          </w:tcPr>
          <w:p w14:paraId="355C5AE5"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4" w:type="dxa"/>
            <w:vAlign w:val="center"/>
          </w:tcPr>
          <w:p w14:paraId="3317DF94"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4" w:type="dxa"/>
            <w:vAlign w:val="center"/>
          </w:tcPr>
          <w:p w14:paraId="35E9092F"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6" w:type="dxa"/>
            <w:vAlign w:val="center"/>
          </w:tcPr>
          <w:p w14:paraId="48121070"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w:t>
            </w:r>
          </w:p>
        </w:tc>
        <w:tc>
          <w:tcPr>
            <w:tcW w:w="2006" w:type="dxa"/>
            <w:vAlign w:val="center"/>
          </w:tcPr>
          <w:p w14:paraId="780D73A6"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Индикативно; буџетска валидација</w:t>
            </w:r>
          </w:p>
        </w:tc>
      </w:tr>
      <w:tr w:rsidR="00FE200F" w14:paraId="43648619" w14:textId="77777777">
        <w:trPr>
          <w:cantSplit/>
        </w:trPr>
        <w:tc>
          <w:tcPr>
            <w:tcW w:w="2721" w:type="dxa"/>
            <w:vAlign w:val="center"/>
          </w:tcPr>
          <w:p w14:paraId="11CA584F"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 xml:space="preserve">М4.3.1. Зајакнување на </w:t>
            </w:r>
            <w:r>
              <w:rPr>
                <w:rFonts w:ascii="Times New Roman" w:eastAsia="Arial" w:hAnsi="Times New Roman" w:cs="Times New Roman"/>
                <w:sz w:val="16"/>
                <w:szCs w:val="16"/>
              </w:rPr>
              <w:t>сајбер-безбедноста на ВИ системите</w:t>
            </w:r>
          </w:p>
        </w:tc>
        <w:tc>
          <w:tcPr>
            <w:tcW w:w="1544" w:type="dxa"/>
            <w:vAlign w:val="center"/>
          </w:tcPr>
          <w:p w14:paraId="1AAA8327"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300.000</w:t>
            </w:r>
          </w:p>
        </w:tc>
        <w:tc>
          <w:tcPr>
            <w:tcW w:w="1546" w:type="dxa"/>
            <w:vAlign w:val="center"/>
          </w:tcPr>
          <w:p w14:paraId="1A762857"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150.000</w:t>
            </w:r>
          </w:p>
        </w:tc>
        <w:tc>
          <w:tcPr>
            <w:tcW w:w="1547" w:type="dxa"/>
            <w:vAlign w:val="center"/>
          </w:tcPr>
          <w:p w14:paraId="41F65BC9"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4" w:type="dxa"/>
            <w:vAlign w:val="center"/>
          </w:tcPr>
          <w:p w14:paraId="232C011E"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4" w:type="dxa"/>
            <w:vAlign w:val="center"/>
          </w:tcPr>
          <w:p w14:paraId="6A33A03B"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6" w:type="dxa"/>
            <w:vAlign w:val="center"/>
          </w:tcPr>
          <w:p w14:paraId="5996EA73"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НАТО SPS: 150.000</w:t>
            </w:r>
          </w:p>
        </w:tc>
        <w:tc>
          <w:tcPr>
            <w:tcW w:w="2006" w:type="dxa"/>
            <w:vAlign w:val="center"/>
          </w:tcPr>
          <w:p w14:paraId="0DAD10A7"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НАТО SPS делот е само по одобрено проектно финансирање</w:t>
            </w:r>
          </w:p>
        </w:tc>
      </w:tr>
      <w:tr w:rsidR="00FE200F" w14:paraId="58285383" w14:textId="77777777">
        <w:trPr>
          <w:cantSplit/>
        </w:trPr>
        <w:tc>
          <w:tcPr>
            <w:tcW w:w="2721" w:type="dxa"/>
            <w:vAlign w:val="center"/>
          </w:tcPr>
          <w:p w14:paraId="0279461A"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М4.2.2. Национални стандарди за размена на податоци и ВИ интероперабилност</w:t>
            </w:r>
          </w:p>
        </w:tc>
        <w:tc>
          <w:tcPr>
            <w:tcW w:w="1544" w:type="dxa"/>
            <w:vAlign w:val="center"/>
          </w:tcPr>
          <w:p w14:paraId="0182FED5"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100.000</w:t>
            </w:r>
          </w:p>
        </w:tc>
        <w:tc>
          <w:tcPr>
            <w:tcW w:w="1546" w:type="dxa"/>
            <w:vAlign w:val="center"/>
          </w:tcPr>
          <w:p w14:paraId="1976EB61"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30.000</w:t>
            </w:r>
          </w:p>
        </w:tc>
        <w:tc>
          <w:tcPr>
            <w:tcW w:w="1547" w:type="dxa"/>
            <w:vAlign w:val="center"/>
          </w:tcPr>
          <w:p w14:paraId="0230A2FB"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70.000</w:t>
            </w:r>
          </w:p>
        </w:tc>
        <w:tc>
          <w:tcPr>
            <w:tcW w:w="1544" w:type="dxa"/>
            <w:vAlign w:val="center"/>
          </w:tcPr>
          <w:p w14:paraId="1EE9271F"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4" w:type="dxa"/>
            <w:vAlign w:val="center"/>
          </w:tcPr>
          <w:p w14:paraId="718E952D"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6" w:type="dxa"/>
            <w:vAlign w:val="center"/>
          </w:tcPr>
          <w:p w14:paraId="05FDDC38"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w:t>
            </w:r>
          </w:p>
        </w:tc>
        <w:tc>
          <w:tcPr>
            <w:tcW w:w="2006" w:type="dxa"/>
            <w:vAlign w:val="center"/>
          </w:tcPr>
          <w:p w14:paraId="76F60B9C"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 xml:space="preserve">Индикативно; IPA III </w:t>
            </w:r>
            <w:r>
              <w:rPr>
                <w:rFonts w:ascii="Times New Roman" w:eastAsia="Arial" w:hAnsi="Times New Roman" w:cs="Times New Roman"/>
                <w:sz w:val="16"/>
                <w:szCs w:val="16"/>
              </w:rPr>
              <w:t>валидација</w:t>
            </w:r>
          </w:p>
        </w:tc>
      </w:tr>
      <w:tr w:rsidR="00FE200F" w14:paraId="01BCE6ED" w14:textId="77777777">
        <w:trPr>
          <w:cantSplit/>
        </w:trPr>
        <w:tc>
          <w:tcPr>
            <w:tcW w:w="2721" w:type="dxa"/>
            <w:shd w:val="clear" w:color="auto" w:fill="D9EAF7"/>
            <w:vAlign w:val="center"/>
          </w:tcPr>
          <w:p w14:paraId="1E189B63"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b/>
                <w:sz w:val="16"/>
                <w:szCs w:val="16"/>
              </w:rPr>
              <w:t>Вкупно – Приоритетна област 4: Податоци и инфраструктура</w:t>
            </w:r>
          </w:p>
        </w:tc>
        <w:tc>
          <w:tcPr>
            <w:tcW w:w="1544" w:type="dxa"/>
            <w:shd w:val="clear" w:color="auto" w:fill="D9EAF7"/>
            <w:vAlign w:val="center"/>
          </w:tcPr>
          <w:p w14:paraId="310DF3CA"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b/>
                <w:sz w:val="16"/>
                <w:szCs w:val="16"/>
              </w:rPr>
              <w:t>3.750.000</w:t>
            </w:r>
          </w:p>
        </w:tc>
        <w:tc>
          <w:tcPr>
            <w:tcW w:w="1546" w:type="dxa"/>
            <w:shd w:val="clear" w:color="auto" w:fill="D9EAF7"/>
            <w:vAlign w:val="center"/>
          </w:tcPr>
          <w:p w14:paraId="7F4E6984"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b/>
                <w:sz w:val="16"/>
                <w:szCs w:val="16"/>
              </w:rPr>
              <w:t>1.130.000</w:t>
            </w:r>
          </w:p>
        </w:tc>
        <w:tc>
          <w:tcPr>
            <w:tcW w:w="1547" w:type="dxa"/>
            <w:shd w:val="clear" w:color="auto" w:fill="D9EAF7"/>
            <w:vAlign w:val="center"/>
          </w:tcPr>
          <w:p w14:paraId="7E32E4AF"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b/>
                <w:sz w:val="16"/>
                <w:szCs w:val="16"/>
              </w:rPr>
              <w:t>970.000</w:t>
            </w:r>
          </w:p>
        </w:tc>
        <w:tc>
          <w:tcPr>
            <w:tcW w:w="1544" w:type="dxa"/>
            <w:shd w:val="clear" w:color="auto" w:fill="D9EAF7"/>
            <w:vAlign w:val="center"/>
          </w:tcPr>
          <w:p w14:paraId="017C17D2"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b/>
                <w:sz w:val="16"/>
                <w:szCs w:val="16"/>
              </w:rPr>
              <w:t>-</w:t>
            </w:r>
          </w:p>
        </w:tc>
        <w:tc>
          <w:tcPr>
            <w:tcW w:w="1544" w:type="dxa"/>
            <w:shd w:val="clear" w:color="auto" w:fill="D9EAF7"/>
            <w:vAlign w:val="center"/>
          </w:tcPr>
          <w:p w14:paraId="10AA8BB7"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b/>
                <w:sz w:val="16"/>
                <w:szCs w:val="16"/>
              </w:rPr>
              <w:t>1.500.000</w:t>
            </w:r>
          </w:p>
        </w:tc>
        <w:tc>
          <w:tcPr>
            <w:tcW w:w="1546" w:type="dxa"/>
            <w:shd w:val="clear" w:color="auto" w:fill="D9EAF7"/>
            <w:vAlign w:val="center"/>
          </w:tcPr>
          <w:p w14:paraId="79BE9656"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b/>
                <w:sz w:val="16"/>
                <w:szCs w:val="16"/>
              </w:rPr>
              <w:t>150.000</w:t>
            </w:r>
          </w:p>
        </w:tc>
        <w:tc>
          <w:tcPr>
            <w:tcW w:w="2006" w:type="dxa"/>
            <w:shd w:val="clear" w:color="auto" w:fill="D9EAF7"/>
            <w:vAlign w:val="center"/>
          </w:tcPr>
          <w:p w14:paraId="1F9A690D"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b/>
                <w:sz w:val="16"/>
                <w:szCs w:val="16"/>
              </w:rPr>
              <w:t>Индикативно</w:t>
            </w:r>
          </w:p>
        </w:tc>
      </w:tr>
      <w:tr w:rsidR="00FE200F" w14:paraId="0290BB00" w14:textId="77777777">
        <w:trPr>
          <w:cantSplit/>
        </w:trPr>
        <w:tc>
          <w:tcPr>
            <w:tcW w:w="2721" w:type="dxa"/>
            <w:vAlign w:val="center"/>
          </w:tcPr>
          <w:p w14:paraId="46F3C559"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М5.1.1. Изработка на Закон за вештачка интелигенција</w:t>
            </w:r>
          </w:p>
        </w:tc>
        <w:tc>
          <w:tcPr>
            <w:tcW w:w="1544" w:type="dxa"/>
            <w:vAlign w:val="center"/>
          </w:tcPr>
          <w:p w14:paraId="10E6CA78"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120.000</w:t>
            </w:r>
          </w:p>
        </w:tc>
        <w:tc>
          <w:tcPr>
            <w:tcW w:w="1546" w:type="dxa"/>
            <w:vAlign w:val="center"/>
          </w:tcPr>
          <w:p w14:paraId="00F20DA1"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60.000</w:t>
            </w:r>
          </w:p>
        </w:tc>
        <w:tc>
          <w:tcPr>
            <w:tcW w:w="1547" w:type="dxa"/>
            <w:vAlign w:val="center"/>
          </w:tcPr>
          <w:p w14:paraId="61017728"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4" w:type="dxa"/>
            <w:vAlign w:val="center"/>
          </w:tcPr>
          <w:p w14:paraId="1045370A"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4" w:type="dxa"/>
            <w:vAlign w:val="center"/>
          </w:tcPr>
          <w:p w14:paraId="4A5D4317"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6" w:type="dxa"/>
            <w:vAlign w:val="center"/>
          </w:tcPr>
          <w:p w14:paraId="76E395A1"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Твининг: 60.000</w:t>
            </w:r>
          </w:p>
        </w:tc>
        <w:tc>
          <w:tcPr>
            <w:tcW w:w="2006" w:type="dxa"/>
            <w:vAlign w:val="center"/>
          </w:tcPr>
          <w:p w14:paraId="13F03E3F"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 xml:space="preserve">Твининг делот е предмет на одобрено </w:t>
            </w:r>
            <w:r>
              <w:rPr>
                <w:rFonts w:ascii="Times New Roman" w:eastAsia="Arial" w:hAnsi="Times New Roman" w:cs="Times New Roman"/>
                <w:sz w:val="16"/>
                <w:szCs w:val="16"/>
              </w:rPr>
              <w:t>проектно финансирање</w:t>
            </w:r>
          </w:p>
        </w:tc>
      </w:tr>
      <w:tr w:rsidR="00FE200F" w14:paraId="2DE1047E" w14:textId="77777777">
        <w:trPr>
          <w:cantSplit/>
        </w:trPr>
        <w:tc>
          <w:tcPr>
            <w:tcW w:w="2721" w:type="dxa"/>
            <w:vAlign w:val="center"/>
          </w:tcPr>
          <w:p w14:paraId="0562A6C0"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М5.1.2. Определување на надлежно регулаторно тело за ВИ</w:t>
            </w:r>
          </w:p>
        </w:tc>
        <w:tc>
          <w:tcPr>
            <w:tcW w:w="1544" w:type="dxa"/>
            <w:vAlign w:val="center"/>
          </w:tcPr>
          <w:p w14:paraId="34A3CCA0"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80.000</w:t>
            </w:r>
          </w:p>
        </w:tc>
        <w:tc>
          <w:tcPr>
            <w:tcW w:w="1546" w:type="dxa"/>
            <w:vAlign w:val="center"/>
          </w:tcPr>
          <w:p w14:paraId="0AEDDB6F"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80.000</w:t>
            </w:r>
          </w:p>
        </w:tc>
        <w:tc>
          <w:tcPr>
            <w:tcW w:w="1547" w:type="dxa"/>
            <w:vAlign w:val="center"/>
          </w:tcPr>
          <w:p w14:paraId="6207DDD4"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4" w:type="dxa"/>
            <w:vAlign w:val="center"/>
          </w:tcPr>
          <w:p w14:paraId="62D60A2C"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4" w:type="dxa"/>
            <w:vAlign w:val="center"/>
          </w:tcPr>
          <w:p w14:paraId="48511300"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6" w:type="dxa"/>
            <w:vAlign w:val="center"/>
          </w:tcPr>
          <w:p w14:paraId="6952B8BF"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w:t>
            </w:r>
          </w:p>
        </w:tc>
        <w:tc>
          <w:tcPr>
            <w:tcW w:w="2006" w:type="dxa"/>
            <w:vAlign w:val="center"/>
          </w:tcPr>
          <w:p w14:paraId="258657BF"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Индикативно; буџетска валидација</w:t>
            </w:r>
          </w:p>
        </w:tc>
      </w:tr>
      <w:tr w:rsidR="00FE200F" w14:paraId="42B7E929" w14:textId="77777777">
        <w:trPr>
          <w:cantSplit/>
        </w:trPr>
        <w:tc>
          <w:tcPr>
            <w:tcW w:w="2721" w:type="dxa"/>
            <w:vAlign w:val="center"/>
          </w:tcPr>
          <w:p w14:paraId="2C7621E7"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М5.2.1. Ажурирање на законите за ЗЗЛП, авторски права и одговорност</w:t>
            </w:r>
          </w:p>
        </w:tc>
        <w:tc>
          <w:tcPr>
            <w:tcW w:w="1544" w:type="dxa"/>
            <w:vAlign w:val="center"/>
          </w:tcPr>
          <w:p w14:paraId="4AFF6360"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80.000</w:t>
            </w:r>
          </w:p>
        </w:tc>
        <w:tc>
          <w:tcPr>
            <w:tcW w:w="1546" w:type="dxa"/>
            <w:vAlign w:val="center"/>
          </w:tcPr>
          <w:p w14:paraId="42942627"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80.000</w:t>
            </w:r>
          </w:p>
        </w:tc>
        <w:tc>
          <w:tcPr>
            <w:tcW w:w="1547" w:type="dxa"/>
            <w:vAlign w:val="center"/>
          </w:tcPr>
          <w:p w14:paraId="48887C8F"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4" w:type="dxa"/>
            <w:vAlign w:val="center"/>
          </w:tcPr>
          <w:p w14:paraId="371F6459"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4" w:type="dxa"/>
            <w:vAlign w:val="center"/>
          </w:tcPr>
          <w:p w14:paraId="4A598179"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6" w:type="dxa"/>
            <w:vAlign w:val="center"/>
          </w:tcPr>
          <w:p w14:paraId="66C8E24F"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w:t>
            </w:r>
          </w:p>
        </w:tc>
        <w:tc>
          <w:tcPr>
            <w:tcW w:w="2006" w:type="dxa"/>
            <w:vAlign w:val="center"/>
          </w:tcPr>
          <w:p w14:paraId="439EEB5B"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Индикативно; буџетска валидација</w:t>
            </w:r>
          </w:p>
        </w:tc>
      </w:tr>
      <w:tr w:rsidR="00FE200F" w14:paraId="4CCFA421" w14:textId="77777777">
        <w:trPr>
          <w:cantSplit/>
        </w:trPr>
        <w:tc>
          <w:tcPr>
            <w:tcW w:w="2721" w:type="dxa"/>
            <w:vAlign w:val="center"/>
          </w:tcPr>
          <w:p w14:paraId="2478A156"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М5.3.1. Национални етички насоки за одговорна ВИ</w:t>
            </w:r>
          </w:p>
        </w:tc>
        <w:tc>
          <w:tcPr>
            <w:tcW w:w="1544" w:type="dxa"/>
            <w:vAlign w:val="center"/>
          </w:tcPr>
          <w:p w14:paraId="42D2391B"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50.000</w:t>
            </w:r>
          </w:p>
        </w:tc>
        <w:tc>
          <w:tcPr>
            <w:tcW w:w="1546" w:type="dxa"/>
            <w:vAlign w:val="center"/>
          </w:tcPr>
          <w:p w14:paraId="15E5AAFC"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50.000</w:t>
            </w:r>
          </w:p>
        </w:tc>
        <w:tc>
          <w:tcPr>
            <w:tcW w:w="1547" w:type="dxa"/>
            <w:vAlign w:val="center"/>
          </w:tcPr>
          <w:p w14:paraId="26DD47C9"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4" w:type="dxa"/>
            <w:vAlign w:val="center"/>
          </w:tcPr>
          <w:p w14:paraId="1217B361"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4" w:type="dxa"/>
            <w:vAlign w:val="center"/>
          </w:tcPr>
          <w:p w14:paraId="32493D0C"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6" w:type="dxa"/>
            <w:vAlign w:val="center"/>
          </w:tcPr>
          <w:p w14:paraId="3EB7C0AA"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w:t>
            </w:r>
          </w:p>
        </w:tc>
        <w:tc>
          <w:tcPr>
            <w:tcW w:w="2006" w:type="dxa"/>
            <w:vAlign w:val="center"/>
          </w:tcPr>
          <w:p w14:paraId="2A67024A"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Индикативно; буџетска валидација</w:t>
            </w:r>
          </w:p>
        </w:tc>
      </w:tr>
      <w:tr w:rsidR="00FE200F" w14:paraId="3B073F3F" w14:textId="77777777">
        <w:trPr>
          <w:cantSplit/>
        </w:trPr>
        <w:tc>
          <w:tcPr>
            <w:tcW w:w="2721" w:type="dxa"/>
            <w:vAlign w:val="center"/>
          </w:tcPr>
          <w:p w14:paraId="54D85842"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lastRenderedPageBreak/>
              <w:t>М5.3.2. Воспоставување на „AI Regulatory Sandbox“</w:t>
            </w:r>
          </w:p>
        </w:tc>
        <w:tc>
          <w:tcPr>
            <w:tcW w:w="1544" w:type="dxa"/>
            <w:vAlign w:val="center"/>
          </w:tcPr>
          <w:p w14:paraId="0ABEC6C1"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200.000</w:t>
            </w:r>
          </w:p>
        </w:tc>
        <w:tc>
          <w:tcPr>
            <w:tcW w:w="1546" w:type="dxa"/>
            <w:vAlign w:val="center"/>
          </w:tcPr>
          <w:p w14:paraId="53DB875E"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60.000</w:t>
            </w:r>
          </w:p>
        </w:tc>
        <w:tc>
          <w:tcPr>
            <w:tcW w:w="1547" w:type="dxa"/>
            <w:vAlign w:val="center"/>
          </w:tcPr>
          <w:p w14:paraId="27E51643"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140.000</w:t>
            </w:r>
          </w:p>
        </w:tc>
        <w:tc>
          <w:tcPr>
            <w:tcW w:w="1544" w:type="dxa"/>
            <w:vAlign w:val="center"/>
          </w:tcPr>
          <w:p w14:paraId="1A93DE83"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4" w:type="dxa"/>
            <w:vAlign w:val="center"/>
          </w:tcPr>
          <w:p w14:paraId="35CBF6B8"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6" w:type="dxa"/>
            <w:vAlign w:val="center"/>
          </w:tcPr>
          <w:p w14:paraId="6CC4D459"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w:t>
            </w:r>
          </w:p>
        </w:tc>
        <w:tc>
          <w:tcPr>
            <w:tcW w:w="2006" w:type="dxa"/>
            <w:vAlign w:val="center"/>
          </w:tcPr>
          <w:p w14:paraId="56133C90"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Индикативно; IPA III валидација</w:t>
            </w:r>
          </w:p>
        </w:tc>
      </w:tr>
      <w:tr w:rsidR="00FE200F" w14:paraId="0BC29BF1" w14:textId="77777777">
        <w:trPr>
          <w:cantSplit/>
        </w:trPr>
        <w:tc>
          <w:tcPr>
            <w:tcW w:w="2721" w:type="dxa"/>
            <w:vAlign w:val="center"/>
          </w:tcPr>
          <w:p w14:paraId="2012330C"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 xml:space="preserve">М5.3.3. Пристапување кон меѓународни </w:t>
            </w:r>
            <w:r>
              <w:rPr>
                <w:rFonts w:ascii="Times New Roman" w:eastAsia="Arial" w:hAnsi="Times New Roman" w:cs="Times New Roman"/>
                <w:sz w:val="16"/>
                <w:szCs w:val="16"/>
              </w:rPr>
              <w:t>ВИ иницијативи</w:t>
            </w:r>
          </w:p>
        </w:tc>
        <w:tc>
          <w:tcPr>
            <w:tcW w:w="1544" w:type="dxa"/>
            <w:vAlign w:val="center"/>
          </w:tcPr>
          <w:p w14:paraId="753D210F"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50.000</w:t>
            </w:r>
          </w:p>
        </w:tc>
        <w:tc>
          <w:tcPr>
            <w:tcW w:w="1546" w:type="dxa"/>
            <w:vAlign w:val="center"/>
          </w:tcPr>
          <w:p w14:paraId="452A2426"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50.000</w:t>
            </w:r>
          </w:p>
        </w:tc>
        <w:tc>
          <w:tcPr>
            <w:tcW w:w="1547" w:type="dxa"/>
            <w:vAlign w:val="center"/>
          </w:tcPr>
          <w:p w14:paraId="7CB9AEA0"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4" w:type="dxa"/>
            <w:vAlign w:val="center"/>
          </w:tcPr>
          <w:p w14:paraId="7A6D34BF"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4" w:type="dxa"/>
            <w:vAlign w:val="center"/>
          </w:tcPr>
          <w:p w14:paraId="4A8D708F"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sz w:val="16"/>
                <w:szCs w:val="16"/>
              </w:rPr>
              <w:t>-</w:t>
            </w:r>
          </w:p>
        </w:tc>
        <w:tc>
          <w:tcPr>
            <w:tcW w:w="1546" w:type="dxa"/>
            <w:vAlign w:val="center"/>
          </w:tcPr>
          <w:p w14:paraId="2F23EA74"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w:t>
            </w:r>
          </w:p>
        </w:tc>
        <w:tc>
          <w:tcPr>
            <w:tcW w:w="2006" w:type="dxa"/>
            <w:vAlign w:val="center"/>
          </w:tcPr>
          <w:p w14:paraId="0FE62914"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sz w:val="16"/>
                <w:szCs w:val="16"/>
              </w:rPr>
              <w:t>Индикативно; буџетска валидација</w:t>
            </w:r>
          </w:p>
        </w:tc>
      </w:tr>
      <w:tr w:rsidR="00FE200F" w14:paraId="6FF9F712" w14:textId="77777777">
        <w:trPr>
          <w:cantSplit/>
        </w:trPr>
        <w:tc>
          <w:tcPr>
            <w:tcW w:w="2721" w:type="dxa"/>
            <w:shd w:val="clear" w:color="auto" w:fill="D9EAF7"/>
            <w:vAlign w:val="center"/>
          </w:tcPr>
          <w:p w14:paraId="43E51E74"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b/>
                <w:sz w:val="16"/>
                <w:szCs w:val="16"/>
              </w:rPr>
              <w:t>Вкупно – Приоритетна област 5: Правна и етичка рамка</w:t>
            </w:r>
          </w:p>
        </w:tc>
        <w:tc>
          <w:tcPr>
            <w:tcW w:w="1544" w:type="dxa"/>
            <w:shd w:val="clear" w:color="auto" w:fill="D9EAF7"/>
            <w:vAlign w:val="center"/>
          </w:tcPr>
          <w:p w14:paraId="47CE20EE"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b/>
                <w:sz w:val="16"/>
                <w:szCs w:val="16"/>
              </w:rPr>
              <w:t>580.000</w:t>
            </w:r>
          </w:p>
        </w:tc>
        <w:tc>
          <w:tcPr>
            <w:tcW w:w="1546" w:type="dxa"/>
            <w:shd w:val="clear" w:color="auto" w:fill="D9EAF7"/>
            <w:vAlign w:val="center"/>
          </w:tcPr>
          <w:p w14:paraId="49D22DAA"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b/>
                <w:sz w:val="16"/>
                <w:szCs w:val="16"/>
              </w:rPr>
              <w:t>380.000</w:t>
            </w:r>
          </w:p>
        </w:tc>
        <w:tc>
          <w:tcPr>
            <w:tcW w:w="1547" w:type="dxa"/>
            <w:shd w:val="clear" w:color="auto" w:fill="D9EAF7"/>
            <w:vAlign w:val="center"/>
          </w:tcPr>
          <w:p w14:paraId="1F2EBF7B"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b/>
                <w:sz w:val="16"/>
                <w:szCs w:val="16"/>
              </w:rPr>
              <w:t>140.000</w:t>
            </w:r>
          </w:p>
        </w:tc>
        <w:tc>
          <w:tcPr>
            <w:tcW w:w="1544" w:type="dxa"/>
            <w:shd w:val="clear" w:color="auto" w:fill="D9EAF7"/>
            <w:vAlign w:val="center"/>
          </w:tcPr>
          <w:p w14:paraId="5F749AAA"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b/>
                <w:sz w:val="16"/>
                <w:szCs w:val="16"/>
              </w:rPr>
              <w:t>-</w:t>
            </w:r>
          </w:p>
        </w:tc>
        <w:tc>
          <w:tcPr>
            <w:tcW w:w="1544" w:type="dxa"/>
            <w:shd w:val="clear" w:color="auto" w:fill="D9EAF7"/>
            <w:vAlign w:val="center"/>
          </w:tcPr>
          <w:p w14:paraId="175E4274"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b/>
                <w:sz w:val="16"/>
                <w:szCs w:val="16"/>
              </w:rPr>
              <w:t>-</w:t>
            </w:r>
          </w:p>
        </w:tc>
        <w:tc>
          <w:tcPr>
            <w:tcW w:w="1546" w:type="dxa"/>
            <w:shd w:val="clear" w:color="auto" w:fill="D9EAF7"/>
            <w:vAlign w:val="center"/>
          </w:tcPr>
          <w:p w14:paraId="162815B0"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b/>
                <w:sz w:val="16"/>
                <w:szCs w:val="16"/>
              </w:rPr>
              <w:t>60.000</w:t>
            </w:r>
          </w:p>
        </w:tc>
        <w:tc>
          <w:tcPr>
            <w:tcW w:w="2006" w:type="dxa"/>
            <w:shd w:val="clear" w:color="auto" w:fill="D9EAF7"/>
            <w:vAlign w:val="center"/>
          </w:tcPr>
          <w:p w14:paraId="1AD4C799"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b/>
                <w:sz w:val="16"/>
                <w:szCs w:val="16"/>
              </w:rPr>
              <w:t>Индикативно</w:t>
            </w:r>
          </w:p>
        </w:tc>
      </w:tr>
      <w:tr w:rsidR="00FE200F" w14:paraId="1E9E2E23" w14:textId="77777777">
        <w:trPr>
          <w:cantSplit/>
        </w:trPr>
        <w:tc>
          <w:tcPr>
            <w:tcW w:w="2721" w:type="dxa"/>
            <w:shd w:val="clear" w:color="auto" w:fill="9DC3E6"/>
            <w:vAlign w:val="center"/>
          </w:tcPr>
          <w:p w14:paraId="63885A1C" w14:textId="77777777" w:rsidR="00FE200F" w:rsidRDefault="00E77CAF">
            <w:pPr>
              <w:spacing w:line="228" w:lineRule="auto"/>
              <w:rPr>
                <w:rFonts w:ascii="Times New Roman" w:hAnsi="Times New Roman" w:cs="Times New Roman"/>
                <w:sz w:val="16"/>
                <w:szCs w:val="16"/>
              </w:rPr>
            </w:pPr>
            <w:r>
              <w:rPr>
                <w:rFonts w:ascii="Times New Roman" w:eastAsia="Arial" w:hAnsi="Times New Roman" w:cs="Times New Roman"/>
                <w:b/>
                <w:sz w:val="16"/>
                <w:szCs w:val="16"/>
              </w:rPr>
              <w:t>ВКУПНО</w:t>
            </w:r>
          </w:p>
        </w:tc>
        <w:tc>
          <w:tcPr>
            <w:tcW w:w="1544" w:type="dxa"/>
            <w:shd w:val="clear" w:color="auto" w:fill="9DC3E6"/>
            <w:vAlign w:val="center"/>
          </w:tcPr>
          <w:p w14:paraId="00F5C5A8"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b/>
                <w:sz w:val="16"/>
                <w:szCs w:val="16"/>
              </w:rPr>
              <w:t>14.250.000</w:t>
            </w:r>
          </w:p>
        </w:tc>
        <w:tc>
          <w:tcPr>
            <w:tcW w:w="1546" w:type="dxa"/>
            <w:shd w:val="clear" w:color="auto" w:fill="9DC3E6"/>
            <w:vAlign w:val="center"/>
          </w:tcPr>
          <w:p w14:paraId="6FAC7D91"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b/>
                <w:sz w:val="16"/>
                <w:szCs w:val="16"/>
              </w:rPr>
              <w:t>4.870.000</w:t>
            </w:r>
          </w:p>
        </w:tc>
        <w:tc>
          <w:tcPr>
            <w:tcW w:w="1547" w:type="dxa"/>
            <w:shd w:val="clear" w:color="auto" w:fill="9DC3E6"/>
            <w:vAlign w:val="center"/>
          </w:tcPr>
          <w:p w14:paraId="475A2514"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b/>
                <w:sz w:val="16"/>
                <w:szCs w:val="16"/>
              </w:rPr>
              <w:t>5.535.000</w:t>
            </w:r>
          </w:p>
        </w:tc>
        <w:tc>
          <w:tcPr>
            <w:tcW w:w="1544" w:type="dxa"/>
            <w:shd w:val="clear" w:color="auto" w:fill="9DC3E6"/>
            <w:vAlign w:val="center"/>
          </w:tcPr>
          <w:p w14:paraId="684D49CE"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b/>
                <w:sz w:val="16"/>
                <w:szCs w:val="16"/>
              </w:rPr>
              <w:t>300.000</w:t>
            </w:r>
          </w:p>
        </w:tc>
        <w:tc>
          <w:tcPr>
            <w:tcW w:w="1544" w:type="dxa"/>
            <w:shd w:val="clear" w:color="auto" w:fill="9DC3E6"/>
            <w:vAlign w:val="center"/>
          </w:tcPr>
          <w:p w14:paraId="78153FFF"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b/>
                <w:sz w:val="16"/>
                <w:szCs w:val="16"/>
              </w:rPr>
              <w:t>2.500.000</w:t>
            </w:r>
          </w:p>
        </w:tc>
        <w:tc>
          <w:tcPr>
            <w:tcW w:w="1546" w:type="dxa"/>
            <w:shd w:val="clear" w:color="auto" w:fill="9DC3E6"/>
            <w:vAlign w:val="center"/>
          </w:tcPr>
          <w:p w14:paraId="62450382"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b/>
                <w:sz w:val="16"/>
                <w:szCs w:val="16"/>
              </w:rPr>
              <w:t>1.045.000</w:t>
            </w:r>
          </w:p>
        </w:tc>
        <w:tc>
          <w:tcPr>
            <w:tcW w:w="2006" w:type="dxa"/>
            <w:shd w:val="clear" w:color="auto" w:fill="9DC3E6"/>
            <w:vAlign w:val="center"/>
          </w:tcPr>
          <w:p w14:paraId="0CA48565" w14:textId="77777777" w:rsidR="00FE200F" w:rsidRDefault="00E77CAF">
            <w:pPr>
              <w:spacing w:line="228" w:lineRule="auto"/>
              <w:jc w:val="center"/>
              <w:rPr>
                <w:rFonts w:ascii="Times New Roman" w:hAnsi="Times New Roman" w:cs="Times New Roman"/>
                <w:sz w:val="16"/>
                <w:szCs w:val="16"/>
              </w:rPr>
            </w:pPr>
            <w:r>
              <w:rPr>
                <w:rFonts w:ascii="Times New Roman" w:eastAsia="Arial" w:hAnsi="Times New Roman" w:cs="Times New Roman"/>
                <w:b/>
                <w:sz w:val="16"/>
                <w:szCs w:val="16"/>
              </w:rPr>
              <w:t xml:space="preserve">Сите износи се </w:t>
            </w:r>
            <w:r>
              <w:rPr>
                <w:rFonts w:ascii="Times New Roman" w:eastAsia="Arial" w:hAnsi="Times New Roman" w:cs="Times New Roman"/>
                <w:b/>
                <w:sz w:val="16"/>
                <w:szCs w:val="16"/>
              </w:rPr>
              <w:t>предмет на валидација</w:t>
            </w:r>
          </w:p>
        </w:tc>
      </w:tr>
    </w:tbl>
    <w:p w14:paraId="355CC244" w14:textId="77777777" w:rsidR="00FE200F" w:rsidRDefault="00E77CAF">
      <w:pPr>
        <w:spacing w:after="100" w:line="252" w:lineRule="auto"/>
        <w:rPr>
          <w:rFonts w:ascii="Times New Roman" w:eastAsia="Arial" w:hAnsi="Times New Roman" w:cs="Times New Roman"/>
          <w:sz w:val="16"/>
          <w:szCs w:val="16"/>
        </w:rPr>
        <w:sectPr w:rsidR="00FE200F">
          <w:footerReference w:type="even" r:id="rId21"/>
          <w:footerReference w:type="default" r:id="rId22"/>
          <w:footerReference w:type="first" r:id="rId23"/>
          <w:pgSz w:w="16838" w:h="11906" w:orient="landscape"/>
          <w:pgMar w:top="397" w:right="312" w:bottom="777" w:left="312" w:header="0" w:footer="720" w:gutter="0"/>
          <w:cols w:space="720"/>
          <w:formProt w:val="0"/>
          <w:docGrid w:linePitch="360" w:charSpace="8192"/>
        </w:sectPr>
      </w:pPr>
      <w:r>
        <w:rPr>
          <w:rFonts w:ascii="Times New Roman" w:eastAsia="Arial" w:hAnsi="Times New Roman" w:cs="Times New Roman"/>
          <w:sz w:val="16"/>
          <w:szCs w:val="16"/>
        </w:rPr>
        <w:t>* Други надворешни извори: билатерални/мултилатерални донатори, Твининг проект или НАТО SPS, како што е наведено по мерка. Сите износи, категории и услови за кофинансирање мора да бидат потврде</w:t>
      </w:r>
      <w:r>
        <w:rPr>
          <w:rFonts w:ascii="Times New Roman" w:eastAsia="Arial" w:hAnsi="Times New Roman" w:cs="Times New Roman"/>
          <w:sz w:val="16"/>
          <w:szCs w:val="16"/>
        </w:rPr>
        <w:t>ни пред нивно внесување во финален ОПФИ.</w:t>
      </w:r>
    </w:p>
    <w:p w14:paraId="42958478" w14:textId="77777777" w:rsidR="00FE200F" w:rsidRDefault="00E77CAF">
      <w:pPr>
        <w:pStyle w:val="MdHeading1"/>
        <w:rPr>
          <w:sz w:val="24"/>
          <w:szCs w:val="24"/>
        </w:rPr>
      </w:pPr>
      <w:bookmarkStart w:id="165" w:name="_Toc240630108"/>
      <w:bookmarkStart w:id="166" w:name="_Toc243908051"/>
      <w:r>
        <w:rPr>
          <w:sz w:val="24"/>
          <w:szCs w:val="24"/>
        </w:rPr>
        <w:lastRenderedPageBreak/>
        <w:t>Легенда на институции и кратенки</w:t>
      </w:r>
      <w:bookmarkEnd w:id="165"/>
      <w:bookmarkEnd w:id="166"/>
    </w:p>
    <w:p w14:paraId="7D07BA4B" w14:textId="77777777" w:rsidR="00FE200F" w:rsidRDefault="00E77CAF">
      <w:pPr>
        <w:pStyle w:val="MdParagraph"/>
        <w:rPr>
          <w:sz w:val="22"/>
          <w:szCs w:val="22"/>
        </w:rPr>
      </w:pPr>
      <w:r>
        <w:rPr>
          <w:sz w:val="22"/>
          <w:szCs w:val="22"/>
        </w:rPr>
        <w:t>Оваа легенда ги појаснува институциите и клучните кратенки што се појавуваат во Акцискиот план на Стратегијата за употреба на вештачка интелигенција во Република Северна Македонија.</w:t>
      </w:r>
    </w:p>
    <w:p w14:paraId="2C82D31F" w14:textId="77777777" w:rsidR="00FE200F" w:rsidRDefault="00FE200F">
      <w:pPr>
        <w:pStyle w:val="MdSpace"/>
        <w:spacing w:after="60"/>
        <w:rPr>
          <w:sz w:val="22"/>
          <w:szCs w:val="22"/>
        </w:rPr>
      </w:pPr>
    </w:p>
    <w:p w14:paraId="31EA1A1D" w14:textId="77777777" w:rsidR="00FE200F" w:rsidRDefault="00E77CAF">
      <w:pPr>
        <w:pStyle w:val="MdHeading2"/>
        <w:rPr>
          <w:sz w:val="24"/>
          <w:szCs w:val="24"/>
        </w:rPr>
      </w:pPr>
      <w:bookmarkStart w:id="167" w:name="_Toc240630109"/>
      <w:bookmarkStart w:id="168" w:name="_Toc243908052"/>
      <w:r>
        <w:rPr>
          <w:sz w:val="24"/>
          <w:szCs w:val="24"/>
        </w:rPr>
        <w:t>Водечки и придружни институции</w:t>
      </w:r>
      <w:bookmarkEnd w:id="167"/>
      <w:bookmarkEnd w:id="168"/>
    </w:p>
    <w:tbl>
      <w:tblPr>
        <w:tblW w:w="5000" w:type="pct"/>
        <w:tblLayout w:type="fixed"/>
        <w:tblCellMar>
          <w:top w:w="100" w:type="dxa"/>
          <w:left w:w="120" w:type="dxa"/>
          <w:bottom w:w="100" w:type="dxa"/>
          <w:right w:w="120" w:type="dxa"/>
        </w:tblCellMar>
        <w:tblLook w:val="04A0" w:firstRow="1" w:lastRow="0" w:firstColumn="1" w:lastColumn="0" w:noHBand="0" w:noVBand="1"/>
      </w:tblPr>
      <w:tblGrid>
        <w:gridCol w:w="1856"/>
        <w:gridCol w:w="3047"/>
        <w:gridCol w:w="4219"/>
      </w:tblGrid>
      <w:tr w:rsidR="00FE200F" w14:paraId="318E24C2" w14:textId="77777777">
        <w:trPr>
          <w:cantSplit/>
          <w:trHeight w:val="720"/>
          <w:tblHeader/>
        </w:trPr>
        <w:tc>
          <w:tcPr>
            <w:tcW w:w="1856" w:type="dxa"/>
            <w:tcBorders>
              <w:top w:val="single" w:sz="4" w:space="0" w:color="E1E4E8"/>
              <w:bottom w:val="single" w:sz="2" w:space="0" w:color="E1E4E8"/>
              <w:right w:val="single" w:sz="2" w:space="0" w:color="F6F8FA"/>
            </w:tcBorders>
            <w:vAlign w:val="center"/>
          </w:tcPr>
          <w:p w14:paraId="7CF899CE" w14:textId="77777777" w:rsidR="00FE200F" w:rsidRDefault="00E77CAF">
            <w:pPr>
              <w:pStyle w:val="MdTableHeader"/>
            </w:pPr>
            <w:r>
              <w:t>Кратенка / назив во Стратегијата</w:t>
            </w:r>
          </w:p>
        </w:tc>
        <w:tc>
          <w:tcPr>
            <w:tcW w:w="3047" w:type="dxa"/>
            <w:tcBorders>
              <w:top w:val="single" w:sz="4" w:space="0" w:color="E1E4E8"/>
              <w:left w:val="single" w:sz="2" w:space="0" w:color="F6F8FA"/>
              <w:bottom w:val="single" w:sz="2" w:space="0" w:color="E1E4E8"/>
              <w:right w:val="single" w:sz="2" w:space="0" w:color="F6F8FA"/>
            </w:tcBorders>
            <w:vAlign w:val="center"/>
          </w:tcPr>
          <w:p w14:paraId="68317AC8" w14:textId="77777777" w:rsidR="00FE200F" w:rsidRDefault="00E77CAF">
            <w:pPr>
              <w:pStyle w:val="MdTableHeader"/>
            </w:pPr>
            <w:r>
              <w:t>Полно име</w:t>
            </w:r>
          </w:p>
        </w:tc>
        <w:tc>
          <w:tcPr>
            <w:tcW w:w="4219" w:type="dxa"/>
            <w:tcBorders>
              <w:top w:val="single" w:sz="4" w:space="0" w:color="E1E4E8"/>
              <w:left w:val="single" w:sz="2" w:space="0" w:color="F6F8FA"/>
              <w:bottom w:val="single" w:sz="2" w:space="0" w:color="E1E4E8"/>
            </w:tcBorders>
            <w:vAlign w:val="center"/>
          </w:tcPr>
          <w:p w14:paraId="4D4029BD" w14:textId="77777777" w:rsidR="00FE200F" w:rsidRDefault="00E77CAF">
            <w:pPr>
              <w:pStyle w:val="MdTableHeader"/>
            </w:pPr>
            <w:r>
              <w:t>Улога во Акцискиот план</w:t>
            </w:r>
          </w:p>
        </w:tc>
      </w:tr>
      <w:tr w:rsidR="00FE200F" w14:paraId="55D34E07" w14:textId="77777777">
        <w:trPr>
          <w:cantSplit/>
          <w:trHeight w:val="576"/>
        </w:trPr>
        <w:tc>
          <w:tcPr>
            <w:tcW w:w="1856" w:type="dxa"/>
            <w:tcBorders>
              <w:top w:val="single" w:sz="2" w:space="0" w:color="E1E4E8"/>
              <w:bottom w:val="single" w:sz="2" w:space="0" w:color="E1E4E8"/>
              <w:right w:val="single" w:sz="2" w:space="0" w:color="F6F8FA"/>
            </w:tcBorders>
            <w:tcMar>
              <w:top w:w="80" w:type="dxa"/>
              <w:bottom w:w="80" w:type="dxa"/>
            </w:tcMar>
            <w:vAlign w:val="center"/>
          </w:tcPr>
          <w:p w14:paraId="3524EBF0" w14:textId="77777777" w:rsidR="00FE200F" w:rsidRDefault="00E77CAF">
            <w:pPr>
              <w:pStyle w:val="MdTableCell"/>
              <w:rPr>
                <w:sz w:val="22"/>
                <w:szCs w:val="22"/>
              </w:rPr>
            </w:pPr>
            <w:r>
              <w:rPr>
                <w:rStyle w:val="MdStrong"/>
                <w:b w:val="0"/>
                <w:bCs w:val="0"/>
                <w:sz w:val="22"/>
                <w:szCs w:val="22"/>
              </w:rPr>
              <w:t>МДТ</w:t>
            </w:r>
          </w:p>
        </w:tc>
        <w:tc>
          <w:tcPr>
            <w:tcW w:w="3047" w:type="dxa"/>
            <w:tcBorders>
              <w:top w:val="single" w:sz="2" w:space="0" w:color="E1E4E8"/>
              <w:left w:val="single" w:sz="2" w:space="0" w:color="F6F8FA"/>
              <w:bottom w:val="single" w:sz="2" w:space="0" w:color="E1E4E8"/>
              <w:right w:val="single" w:sz="2" w:space="0" w:color="F6F8FA"/>
            </w:tcBorders>
            <w:tcMar>
              <w:top w:w="80" w:type="dxa"/>
              <w:bottom w:w="80" w:type="dxa"/>
            </w:tcMar>
            <w:vAlign w:val="center"/>
          </w:tcPr>
          <w:p w14:paraId="647C1846" w14:textId="77777777" w:rsidR="00FE200F" w:rsidRDefault="00E77CAF">
            <w:pPr>
              <w:pStyle w:val="MdTableCell"/>
              <w:rPr>
                <w:sz w:val="22"/>
                <w:szCs w:val="22"/>
              </w:rPr>
            </w:pPr>
            <w:r>
              <w:rPr>
                <w:sz w:val="22"/>
                <w:szCs w:val="22"/>
              </w:rPr>
              <w:t>Министерство за дигитална трансформација</w:t>
            </w:r>
          </w:p>
        </w:tc>
        <w:tc>
          <w:tcPr>
            <w:tcW w:w="4219" w:type="dxa"/>
            <w:tcBorders>
              <w:top w:val="single" w:sz="2" w:space="0" w:color="E1E4E8"/>
              <w:left w:val="single" w:sz="2" w:space="0" w:color="F6F8FA"/>
              <w:bottom w:val="single" w:sz="2" w:space="0" w:color="E1E4E8"/>
            </w:tcBorders>
            <w:tcMar>
              <w:top w:w="80" w:type="dxa"/>
              <w:bottom w:w="80" w:type="dxa"/>
            </w:tcMar>
            <w:vAlign w:val="center"/>
          </w:tcPr>
          <w:p w14:paraId="07BC1737" w14:textId="77777777" w:rsidR="00FE200F" w:rsidRDefault="00E77CAF">
            <w:pPr>
              <w:pStyle w:val="MdTableCell"/>
              <w:rPr>
                <w:sz w:val="22"/>
                <w:szCs w:val="22"/>
              </w:rPr>
            </w:pPr>
            <w:r>
              <w:rPr>
                <w:sz w:val="22"/>
                <w:szCs w:val="22"/>
              </w:rPr>
              <w:t>Главен национален координатор за спроведување на Стратегијата, дигитални јавни услуги, податоци и ВИ управување</w:t>
            </w:r>
            <w:r>
              <w:rPr>
                <w:sz w:val="22"/>
                <w:szCs w:val="22"/>
              </w:rPr>
              <w:t>.</w:t>
            </w:r>
          </w:p>
        </w:tc>
      </w:tr>
      <w:tr w:rsidR="00FE200F" w14:paraId="01EA77F8" w14:textId="77777777">
        <w:trPr>
          <w:cantSplit/>
          <w:trHeight w:val="576"/>
        </w:trPr>
        <w:tc>
          <w:tcPr>
            <w:tcW w:w="1856" w:type="dxa"/>
            <w:tcBorders>
              <w:top w:val="single" w:sz="2" w:space="0" w:color="E1E4E8"/>
              <w:bottom w:val="single" w:sz="2" w:space="0" w:color="E1E4E8"/>
              <w:right w:val="single" w:sz="2" w:space="0" w:color="F6F8FA"/>
            </w:tcBorders>
            <w:tcMar>
              <w:top w:w="80" w:type="dxa"/>
              <w:bottom w:w="80" w:type="dxa"/>
            </w:tcMar>
            <w:vAlign w:val="center"/>
          </w:tcPr>
          <w:p w14:paraId="26655376" w14:textId="77777777" w:rsidR="00FE200F" w:rsidRDefault="00E77CAF">
            <w:pPr>
              <w:pStyle w:val="MdTableCell"/>
              <w:rPr>
                <w:sz w:val="22"/>
                <w:szCs w:val="22"/>
              </w:rPr>
            </w:pPr>
            <w:r>
              <w:rPr>
                <w:rStyle w:val="MdStrong"/>
                <w:b w:val="0"/>
                <w:bCs w:val="0"/>
                <w:sz w:val="22"/>
                <w:szCs w:val="22"/>
              </w:rPr>
              <w:t>МНРНТ</w:t>
            </w:r>
          </w:p>
        </w:tc>
        <w:tc>
          <w:tcPr>
            <w:tcW w:w="3047" w:type="dxa"/>
            <w:tcBorders>
              <w:top w:val="single" w:sz="2" w:space="0" w:color="E1E4E8"/>
              <w:left w:val="single" w:sz="2" w:space="0" w:color="F6F8FA"/>
              <w:bottom w:val="single" w:sz="2" w:space="0" w:color="E1E4E8"/>
              <w:right w:val="single" w:sz="2" w:space="0" w:color="F6F8FA"/>
            </w:tcBorders>
            <w:tcMar>
              <w:top w:w="80" w:type="dxa"/>
              <w:bottom w:w="80" w:type="dxa"/>
            </w:tcMar>
            <w:vAlign w:val="center"/>
          </w:tcPr>
          <w:p w14:paraId="183FA572" w14:textId="77777777" w:rsidR="00FE200F" w:rsidRDefault="00E77CAF">
            <w:pPr>
              <w:pStyle w:val="MdTableCell"/>
              <w:rPr>
                <w:sz w:val="22"/>
                <w:szCs w:val="22"/>
              </w:rPr>
            </w:pPr>
            <w:r>
              <w:rPr>
                <w:sz w:val="22"/>
                <w:szCs w:val="22"/>
              </w:rPr>
              <w:t>Министерство за надворешни работи и надворешна трговија</w:t>
            </w:r>
          </w:p>
        </w:tc>
        <w:tc>
          <w:tcPr>
            <w:tcW w:w="4219" w:type="dxa"/>
            <w:tcBorders>
              <w:top w:val="single" w:sz="2" w:space="0" w:color="E1E4E8"/>
              <w:left w:val="single" w:sz="2" w:space="0" w:color="F6F8FA"/>
              <w:bottom w:val="single" w:sz="2" w:space="0" w:color="E1E4E8"/>
            </w:tcBorders>
            <w:tcMar>
              <w:top w:w="80" w:type="dxa"/>
              <w:bottom w:w="80" w:type="dxa"/>
            </w:tcMar>
            <w:vAlign w:val="center"/>
          </w:tcPr>
          <w:p w14:paraId="5CBAB624" w14:textId="77777777" w:rsidR="00FE200F" w:rsidRDefault="00E77CAF">
            <w:pPr>
              <w:pStyle w:val="MdTableCell"/>
              <w:rPr>
                <w:sz w:val="22"/>
                <w:szCs w:val="22"/>
              </w:rPr>
            </w:pPr>
            <w:r>
              <w:rPr>
                <w:sz w:val="22"/>
                <w:szCs w:val="22"/>
              </w:rPr>
              <w:t>Меѓународно ВИ позиционирање, соработка со OECD/GPAI и други меѓународни иницијативи.</w:t>
            </w:r>
          </w:p>
        </w:tc>
      </w:tr>
      <w:tr w:rsidR="00FE200F" w14:paraId="732EE40E" w14:textId="77777777">
        <w:trPr>
          <w:cantSplit/>
          <w:trHeight w:val="576"/>
        </w:trPr>
        <w:tc>
          <w:tcPr>
            <w:tcW w:w="1856" w:type="dxa"/>
            <w:tcBorders>
              <w:top w:val="single" w:sz="2" w:space="0" w:color="E1E4E8"/>
              <w:bottom w:val="single" w:sz="2" w:space="0" w:color="E1E4E8"/>
              <w:right w:val="single" w:sz="2" w:space="0" w:color="F6F8FA"/>
            </w:tcBorders>
            <w:tcMar>
              <w:top w:w="80" w:type="dxa"/>
              <w:bottom w:w="80" w:type="dxa"/>
            </w:tcMar>
            <w:vAlign w:val="center"/>
          </w:tcPr>
          <w:p w14:paraId="1B09265C" w14:textId="77777777" w:rsidR="00FE200F" w:rsidRDefault="00E77CAF">
            <w:pPr>
              <w:pStyle w:val="MdTableCell"/>
              <w:rPr>
                <w:sz w:val="22"/>
                <w:szCs w:val="22"/>
              </w:rPr>
            </w:pPr>
            <w:r>
              <w:rPr>
                <w:rStyle w:val="MdStrong"/>
                <w:b w:val="0"/>
                <w:bCs w:val="0"/>
                <w:sz w:val="22"/>
                <w:szCs w:val="22"/>
              </w:rPr>
              <w:t>МЕТ</w:t>
            </w:r>
          </w:p>
        </w:tc>
        <w:tc>
          <w:tcPr>
            <w:tcW w:w="3047" w:type="dxa"/>
            <w:tcBorders>
              <w:top w:val="single" w:sz="2" w:space="0" w:color="E1E4E8"/>
              <w:left w:val="single" w:sz="2" w:space="0" w:color="F6F8FA"/>
              <w:bottom w:val="single" w:sz="2" w:space="0" w:color="E1E4E8"/>
              <w:right w:val="single" w:sz="2" w:space="0" w:color="F6F8FA"/>
            </w:tcBorders>
            <w:tcMar>
              <w:top w:w="80" w:type="dxa"/>
              <w:bottom w:w="80" w:type="dxa"/>
            </w:tcMar>
            <w:vAlign w:val="center"/>
          </w:tcPr>
          <w:p w14:paraId="491152EB" w14:textId="77777777" w:rsidR="00FE200F" w:rsidRDefault="00E77CAF">
            <w:pPr>
              <w:pStyle w:val="MdTableCell"/>
              <w:rPr>
                <w:sz w:val="22"/>
                <w:szCs w:val="22"/>
              </w:rPr>
            </w:pPr>
            <w:r>
              <w:rPr>
                <w:sz w:val="22"/>
                <w:szCs w:val="22"/>
              </w:rPr>
              <w:t>Министерство за економија и труд</w:t>
            </w:r>
          </w:p>
        </w:tc>
        <w:tc>
          <w:tcPr>
            <w:tcW w:w="4219" w:type="dxa"/>
            <w:tcBorders>
              <w:top w:val="single" w:sz="2" w:space="0" w:color="E1E4E8"/>
              <w:left w:val="single" w:sz="2" w:space="0" w:color="F6F8FA"/>
              <w:bottom w:val="single" w:sz="2" w:space="0" w:color="E1E4E8"/>
            </w:tcBorders>
            <w:tcMar>
              <w:top w:w="80" w:type="dxa"/>
              <w:bottom w:w="80" w:type="dxa"/>
            </w:tcMar>
            <w:vAlign w:val="center"/>
          </w:tcPr>
          <w:p w14:paraId="38A6D464" w14:textId="77777777" w:rsidR="00FE200F" w:rsidRDefault="00E77CAF">
            <w:pPr>
              <w:pStyle w:val="MdTableCell"/>
              <w:rPr>
                <w:sz w:val="22"/>
                <w:szCs w:val="22"/>
              </w:rPr>
            </w:pPr>
            <w:r>
              <w:rPr>
                <w:sz w:val="22"/>
                <w:szCs w:val="22"/>
              </w:rPr>
              <w:t xml:space="preserve">МСП, продуктивност, економска и трудова политика, ВИ </w:t>
            </w:r>
            <w:r>
              <w:rPr>
                <w:sz w:val="22"/>
                <w:szCs w:val="22"/>
              </w:rPr>
              <w:t>преквалификација и деловна примена.</w:t>
            </w:r>
          </w:p>
        </w:tc>
      </w:tr>
      <w:tr w:rsidR="00FE200F" w14:paraId="512AC583" w14:textId="77777777">
        <w:trPr>
          <w:cantSplit/>
          <w:trHeight w:val="576"/>
        </w:trPr>
        <w:tc>
          <w:tcPr>
            <w:tcW w:w="1856" w:type="dxa"/>
            <w:tcBorders>
              <w:top w:val="single" w:sz="2" w:space="0" w:color="E1E4E8"/>
              <w:bottom w:val="single" w:sz="2" w:space="0" w:color="E1E4E8"/>
              <w:right w:val="single" w:sz="2" w:space="0" w:color="F6F8FA"/>
            </w:tcBorders>
            <w:tcMar>
              <w:top w:w="80" w:type="dxa"/>
              <w:bottom w:w="80" w:type="dxa"/>
            </w:tcMar>
            <w:vAlign w:val="center"/>
          </w:tcPr>
          <w:p w14:paraId="68EFE438" w14:textId="77777777" w:rsidR="00FE200F" w:rsidRDefault="00E77CAF">
            <w:pPr>
              <w:pStyle w:val="MdTableCell"/>
              <w:rPr>
                <w:sz w:val="22"/>
                <w:szCs w:val="22"/>
              </w:rPr>
            </w:pPr>
            <w:r>
              <w:rPr>
                <w:rStyle w:val="MdStrong"/>
                <w:b w:val="0"/>
                <w:bCs w:val="0"/>
                <w:sz w:val="22"/>
                <w:szCs w:val="22"/>
              </w:rPr>
              <w:t>МОН</w:t>
            </w:r>
          </w:p>
        </w:tc>
        <w:tc>
          <w:tcPr>
            <w:tcW w:w="3047" w:type="dxa"/>
            <w:tcBorders>
              <w:top w:val="single" w:sz="2" w:space="0" w:color="E1E4E8"/>
              <w:left w:val="single" w:sz="2" w:space="0" w:color="F6F8FA"/>
              <w:bottom w:val="single" w:sz="2" w:space="0" w:color="E1E4E8"/>
              <w:right w:val="single" w:sz="2" w:space="0" w:color="F6F8FA"/>
            </w:tcBorders>
            <w:tcMar>
              <w:top w:w="80" w:type="dxa"/>
              <w:bottom w:w="80" w:type="dxa"/>
            </w:tcMar>
            <w:vAlign w:val="center"/>
          </w:tcPr>
          <w:p w14:paraId="56133134" w14:textId="77777777" w:rsidR="00FE200F" w:rsidRDefault="00E77CAF">
            <w:pPr>
              <w:pStyle w:val="MdTableCell"/>
              <w:rPr>
                <w:sz w:val="22"/>
                <w:szCs w:val="22"/>
              </w:rPr>
            </w:pPr>
            <w:r>
              <w:rPr>
                <w:sz w:val="22"/>
                <w:szCs w:val="22"/>
              </w:rPr>
              <w:t>Министерство за образование и наука</w:t>
            </w:r>
          </w:p>
        </w:tc>
        <w:tc>
          <w:tcPr>
            <w:tcW w:w="4219" w:type="dxa"/>
            <w:tcBorders>
              <w:top w:val="single" w:sz="2" w:space="0" w:color="E1E4E8"/>
              <w:left w:val="single" w:sz="2" w:space="0" w:color="F6F8FA"/>
              <w:bottom w:val="single" w:sz="2" w:space="0" w:color="E1E4E8"/>
            </w:tcBorders>
            <w:tcMar>
              <w:top w:w="80" w:type="dxa"/>
              <w:bottom w:w="80" w:type="dxa"/>
            </w:tcMar>
            <w:vAlign w:val="center"/>
          </w:tcPr>
          <w:p w14:paraId="39537135" w14:textId="77777777" w:rsidR="00FE200F" w:rsidRDefault="00E77CAF">
            <w:pPr>
              <w:pStyle w:val="MdTableCell"/>
              <w:rPr>
                <w:sz w:val="22"/>
                <w:szCs w:val="22"/>
              </w:rPr>
            </w:pPr>
            <w:r>
              <w:rPr>
                <w:sz w:val="22"/>
                <w:szCs w:val="22"/>
              </w:rPr>
              <w:t>Формално образование, ВИ компетенции, високо образование и наука.</w:t>
            </w:r>
          </w:p>
        </w:tc>
      </w:tr>
      <w:tr w:rsidR="00FE200F" w14:paraId="04729EA8" w14:textId="77777777">
        <w:trPr>
          <w:cantSplit/>
          <w:trHeight w:val="576"/>
        </w:trPr>
        <w:tc>
          <w:tcPr>
            <w:tcW w:w="1856" w:type="dxa"/>
            <w:tcBorders>
              <w:top w:val="single" w:sz="2" w:space="0" w:color="E1E4E8"/>
              <w:bottom w:val="single" w:sz="2" w:space="0" w:color="E1E4E8"/>
              <w:right w:val="single" w:sz="2" w:space="0" w:color="F6F8FA"/>
            </w:tcBorders>
            <w:tcMar>
              <w:top w:w="80" w:type="dxa"/>
              <w:bottom w:w="80" w:type="dxa"/>
            </w:tcMar>
            <w:vAlign w:val="center"/>
          </w:tcPr>
          <w:p w14:paraId="70E80276" w14:textId="77777777" w:rsidR="00FE200F" w:rsidRDefault="00E77CAF">
            <w:pPr>
              <w:pStyle w:val="MdTableCell"/>
              <w:rPr>
                <w:sz w:val="22"/>
                <w:szCs w:val="22"/>
              </w:rPr>
            </w:pPr>
            <w:r>
              <w:rPr>
                <w:rStyle w:val="MdStrong"/>
                <w:b w:val="0"/>
                <w:bCs w:val="0"/>
                <w:sz w:val="22"/>
                <w:szCs w:val="22"/>
              </w:rPr>
              <w:t>МЗ</w:t>
            </w:r>
          </w:p>
        </w:tc>
        <w:tc>
          <w:tcPr>
            <w:tcW w:w="3047" w:type="dxa"/>
            <w:tcBorders>
              <w:top w:val="single" w:sz="2" w:space="0" w:color="E1E4E8"/>
              <w:left w:val="single" w:sz="2" w:space="0" w:color="F6F8FA"/>
              <w:bottom w:val="single" w:sz="2" w:space="0" w:color="E1E4E8"/>
              <w:right w:val="single" w:sz="2" w:space="0" w:color="F6F8FA"/>
            </w:tcBorders>
            <w:tcMar>
              <w:top w:w="80" w:type="dxa"/>
              <w:bottom w:w="80" w:type="dxa"/>
            </w:tcMar>
            <w:vAlign w:val="center"/>
          </w:tcPr>
          <w:p w14:paraId="0FB35AD6" w14:textId="77777777" w:rsidR="00FE200F" w:rsidRDefault="00E77CAF">
            <w:pPr>
              <w:pStyle w:val="MdTableCell"/>
              <w:rPr>
                <w:sz w:val="22"/>
                <w:szCs w:val="22"/>
              </w:rPr>
            </w:pPr>
            <w:r>
              <w:rPr>
                <w:sz w:val="22"/>
                <w:szCs w:val="22"/>
              </w:rPr>
              <w:t>Министерство за здравство</w:t>
            </w:r>
          </w:p>
        </w:tc>
        <w:tc>
          <w:tcPr>
            <w:tcW w:w="4219" w:type="dxa"/>
            <w:tcBorders>
              <w:top w:val="single" w:sz="2" w:space="0" w:color="E1E4E8"/>
              <w:left w:val="single" w:sz="2" w:space="0" w:color="F6F8FA"/>
              <w:bottom w:val="single" w:sz="2" w:space="0" w:color="E1E4E8"/>
            </w:tcBorders>
            <w:tcMar>
              <w:top w:w="80" w:type="dxa"/>
              <w:bottom w:w="80" w:type="dxa"/>
            </w:tcMar>
            <w:vAlign w:val="center"/>
          </w:tcPr>
          <w:p w14:paraId="6EB081DB" w14:textId="77777777" w:rsidR="00FE200F" w:rsidRDefault="00E77CAF">
            <w:pPr>
              <w:pStyle w:val="MdTableCell"/>
              <w:rPr>
                <w:sz w:val="22"/>
                <w:szCs w:val="22"/>
              </w:rPr>
            </w:pPr>
            <w:r>
              <w:rPr>
                <w:sz w:val="22"/>
                <w:szCs w:val="22"/>
              </w:rPr>
              <w:t>Секторска примена на ВИ во здравството.</w:t>
            </w:r>
          </w:p>
        </w:tc>
      </w:tr>
      <w:tr w:rsidR="00FE200F" w14:paraId="57109090" w14:textId="77777777">
        <w:trPr>
          <w:cantSplit/>
          <w:trHeight w:val="576"/>
        </w:trPr>
        <w:tc>
          <w:tcPr>
            <w:tcW w:w="1856" w:type="dxa"/>
            <w:tcBorders>
              <w:top w:val="single" w:sz="2" w:space="0" w:color="E1E4E8"/>
              <w:bottom w:val="single" w:sz="2" w:space="0" w:color="E1E4E8"/>
              <w:right w:val="single" w:sz="2" w:space="0" w:color="F6F8FA"/>
            </w:tcBorders>
            <w:tcMar>
              <w:top w:w="80" w:type="dxa"/>
              <w:bottom w:w="80" w:type="dxa"/>
            </w:tcMar>
            <w:vAlign w:val="center"/>
          </w:tcPr>
          <w:p w14:paraId="3C3D3C51" w14:textId="77777777" w:rsidR="00FE200F" w:rsidRDefault="00E77CAF">
            <w:pPr>
              <w:pStyle w:val="MdTableCell"/>
              <w:rPr>
                <w:sz w:val="22"/>
                <w:szCs w:val="22"/>
              </w:rPr>
            </w:pPr>
            <w:r>
              <w:rPr>
                <w:rStyle w:val="MdStrong"/>
                <w:b w:val="0"/>
                <w:bCs w:val="0"/>
                <w:sz w:val="22"/>
                <w:szCs w:val="22"/>
              </w:rPr>
              <w:t>МЗШВ</w:t>
            </w:r>
          </w:p>
        </w:tc>
        <w:tc>
          <w:tcPr>
            <w:tcW w:w="3047" w:type="dxa"/>
            <w:tcBorders>
              <w:top w:val="single" w:sz="2" w:space="0" w:color="E1E4E8"/>
              <w:left w:val="single" w:sz="2" w:space="0" w:color="F6F8FA"/>
              <w:bottom w:val="single" w:sz="2" w:space="0" w:color="E1E4E8"/>
              <w:right w:val="single" w:sz="2" w:space="0" w:color="F6F8FA"/>
            </w:tcBorders>
            <w:tcMar>
              <w:top w:w="80" w:type="dxa"/>
              <w:bottom w:w="80" w:type="dxa"/>
            </w:tcMar>
            <w:vAlign w:val="center"/>
          </w:tcPr>
          <w:p w14:paraId="143FCC7D" w14:textId="77777777" w:rsidR="00FE200F" w:rsidRDefault="00E77CAF">
            <w:pPr>
              <w:pStyle w:val="MdTableCell"/>
              <w:rPr>
                <w:sz w:val="22"/>
                <w:szCs w:val="22"/>
              </w:rPr>
            </w:pPr>
            <w:r>
              <w:rPr>
                <w:sz w:val="22"/>
                <w:szCs w:val="22"/>
              </w:rPr>
              <w:t xml:space="preserve">Министерство за земјоделство, </w:t>
            </w:r>
            <w:r>
              <w:rPr>
                <w:sz w:val="22"/>
                <w:szCs w:val="22"/>
              </w:rPr>
              <w:t>шумарство и водостопанство</w:t>
            </w:r>
          </w:p>
        </w:tc>
        <w:tc>
          <w:tcPr>
            <w:tcW w:w="4219" w:type="dxa"/>
            <w:tcBorders>
              <w:top w:val="single" w:sz="2" w:space="0" w:color="E1E4E8"/>
              <w:left w:val="single" w:sz="2" w:space="0" w:color="F6F8FA"/>
              <w:bottom w:val="single" w:sz="2" w:space="0" w:color="E1E4E8"/>
            </w:tcBorders>
            <w:tcMar>
              <w:top w:w="80" w:type="dxa"/>
              <w:bottom w:w="80" w:type="dxa"/>
            </w:tcMar>
            <w:vAlign w:val="center"/>
          </w:tcPr>
          <w:p w14:paraId="6E94A1D0" w14:textId="77777777" w:rsidR="00FE200F" w:rsidRDefault="00E77CAF">
            <w:pPr>
              <w:pStyle w:val="MdTableCell"/>
              <w:rPr>
                <w:sz w:val="22"/>
                <w:szCs w:val="22"/>
              </w:rPr>
            </w:pPr>
            <w:r>
              <w:rPr>
                <w:sz w:val="22"/>
                <w:szCs w:val="22"/>
              </w:rPr>
              <w:t>Секторска примена на ВИ во земјоделството.</w:t>
            </w:r>
          </w:p>
        </w:tc>
      </w:tr>
      <w:tr w:rsidR="00FE200F" w14:paraId="66653687" w14:textId="77777777">
        <w:trPr>
          <w:cantSplit/>
          <w:trHeight w:val="576"/>
        </w:trPr>
        <w:tc>
          <w:tcPr>
            <w:tcW w:w="1856" w:type="dxa"/>
            <w:tcBorders>
              <w:top w:val="single" w:sz="2" w:space="0" w:color="E1E4E8"/>
              <w:bottom w:val="single" w:sz="2" w:space="0" w:color="E1E4E8"/>
              <w:right w:val="single" w:sz="2" w:space="0" w:color="F6F8FA"/>
            </w:tcBorders>
            <w:tcMar>
              <w:top w:w="80" w:type="dxa"/>
              <w:bottom w:w="80" w:type="dxa"/>
            </w:tcMar>
            <w:vAlign w:val="center"/>
          </w:tcPr>
          <w:p w14:paraId="3186C2A6" w14:textId="77777777" w:rsidR="00FE200F" w:rsidRDefault="00E77CAF">
            <w:pPr>
              <w:pStyle w:val="MdTableCell"/>
              <w:rPr>
                <w:sz w:val="22"/>
                <w:szCs w:val="22"/>
              </w:rPr>
            </w:pPr>
            <w:r>
              <w:rPr>
                <w:rStyle w:val="MdStrong"/>
                <w:b w:val="0"/>
                <w:bCs w:val="0"/>
                <w:sz w:val="22"/>
                <w:szCs w:val="22"/>
              </w:rPr>
              <w:t>МФ</w:t>
            </w:r>
          </w:p>
        </w:tc>
        <w:tc>
          <w:tcPr>
            <w:tcW w:w="3047" w:type="dxa"/>
            <w:tcBorders>
              <w:top w:val="single" w:sz="2" w:space="0" w:color="E1E4E8"/>
              <w:left w:val="single" w:sz="2" w:space="0" w:color="F6F8FA"/>
              <w:bottom w:val="single" w:sz="2" w:space="0" w:color="E1E4E8"/>
              <w:right w:val="single" w:sz="2" w:space="0" w:color="F6F8FA"/>
            </w:tcBorders>
            <w:tcMar>
              <w:top w:w="80" w:type="dxa"/>
              <w:bottom w:w="80" w:type="dxa"/>
            </w:tcMar>
            <w:vAlign w:val="center"/>
          </w:tcPr>
          <w:p w14:paraId="19E62815" w14:textId="77777777" w:rsidR="00FE200F" w:rsidRDefault="00E77CAF">
            <w:pPr>
              <w:pStyle w:val="MdTableCell"/>
              <w:rPr>
                <w:sz w:val="22"/>
                <w:szCs w:val="22"/>
              </w:rPr>
            </w:pPr>
            <w:r>
              <w:rPr>
                <w:sz w:val="22"/>
                <w:szCs w:val="22"/>
              </w:rPr>
              <w:t>Министерство за финансии</w:t>
            </w:r>
          </w:p>
        </w:tc>
        <w:tc>
          <w:tcPr>
            <w:tcW w:w="4219" w:type="dxa"/>
            <w:tcBorders>
              <w:top w:val="single" w:sz="2" w:space="0" w:color="E1E4E8"/>
              <w:left w:val="single" w:sz="2" w:space="0" w:color="F6F8FA"/>
              <w:bottom w:val="single" w:sz="2" w:space="0" w:color="E1E4E8"/>
            </w:tcBorders>
            <w:tcMar>
              <w:top w:w="80" w:type="dxa"/>
              <w:bottom w:w="80" w:type="dxa"/>
            </w:tcMar>
            <w:vAlign w:val="center"/>
          </w:tcPr>
          <w:p w14:paraId="2D9C75F0" w14:textId="77777777" w:rsidR="00FE200F" w:rsidRDefault="00E77CAF">
            <w:pPr>
              <w:pStyle w:val="MdTableCell"/>
              <w:rPr>
                <w:sz w:val="22"/>
                <w:szCs w:val="22"/>
              </w:rPr>
            </w:pPr>
            <w:r>
              <w:rPr>
                <w:sz w:val="22"/>
                <w:szCs w:val="22"/>
              </w:rPr>
              <w:t>Буџетска координација и последователна валидација на финансиската распределба / ОПФИ.</w:t>
            </w:r>
          </w:p>
        </w:tc>
      </w:tr>
      <w:tr w:rsidR="00FE200F" w14:paraId="68D856FD" w14:textId="77777777">
        <w:trPr>
          <w:cantSplit/>
          <w:trHeight w:val="576"/>
        </w:trPr>
        <w:tc>
          <w:tcPr>
            <w:tcW w:w="1856" w:type="dxa"/>
            <w:tcBorders>
              <w:top w:val="single" w:sz="2" w:space="0" w:color="E1E4E8"/>
              <w:bottom w:val="single" w:sz="2" w:space="0" w:color="E1E4E8"/>
              <w:right w:val="single" w:sz="2" w:space="0" w:color="F6F8FA"/>
            </w:tcBorders>
            <w:tcMar>
              <w:top w:w="80" w:type="dxa"/>
              <w:bottom w:w="80" w:type="dxa"/>
            </w:tcMar>
            <w:vAlign w:val="center"/>
          </w:tcPr>
          <w:p w14:paraId="53E9B7AD" w14:textId="77777777" w:rsidR="00FE200F" w:rsidRDefault="00E77CAF">
            <w:pPr>
              <w:pStyle w:val="MdTableCell"/>
              <w:rPr>
                <w:rStyle w:val="MdStrong"/>
                <w:b w:val="0"/>
                <w:bCs w:val="0"/>
                <w:sz w:val="22"/>
                <w:szCs w:val="22"/>
                <w:lang w:val="mk-MK"/>
              </w:rPr>
            </w:pPr>
            <w:r>
              <w:rPr>
                <w:rStyle w:val="MdStrong"/>
                <w:b w:val="0"/>
                <w:bCs w:val="0"/>
                <w:sz w:val="22"/>
                <w:szCs w:val="22"/>
              </w:rPr>
              <w:t>М</w:t>
            </w:r>
            <w:r>
              <w:rPr>
                <w:rStyle w:val="MdStrong"/>
                <w:b w:val="0"/>
                <w:bCs w:val="0"/>
                <w:sz w:val="22"/>
                <w:szCs w:val="22"/>
                <w:lang w:val="mk-MK"/>
              </w:rPr>
              <w:t>ЕРМС</w:t>
            </w:r>
          </w:p>
        </w:tc>
        <w:tc>
          <w:tcPr>
            <w:tcW w:w="3047" w:type="dxa"/>
            <w:tcBorders>
              <w:top w:val="single" w:sz="2" w:space="0" w:color="E1E4E8"/>
              <w:left w:val="single" w:sz="2" w:space="0" w:color="F6F8FA"/>
              <w:bottom w:val="single" w:sz="2" w:space="0" w:color="E1E4E8"/>
              <w:right w:val="single" w:sz="2" w:space="0" w:color="F6F8FA"/>
            </w:tcBorders>
            <w:tcMar>
              <w:top w:w="80" w:type="dxa"/>
              <w:bottom w:w="80" w:type="dxa"/>
            </w:tcMar>
            <w:vAlign w:val="center"/>
          </w:tcPr>
          <w:p w14:paraId="4838517F" w14:textId="77777777" w:rsidR="00FE200F" w:rsidRDefault="00E77CAF">
            <w:pPr>
              <w:pStyle w:val="MdTableCell"/>
              <w:rPr>
                <w:sz w:val="22"/>
                <w:szCs w:val="22"/>
                <w:lang w:val="mk-MK"/>
              </w:rPr>
            </w:pPr>
            <w:r>
              <w:rPr>
                <w:sz w:val="22"/>
                <w:szCs w:val="22"/>
              </w:rPr>
              <w:t xml:space="preserve">Министерство за </w:t>
            </w:r>
            <w:r>
              <w:rPr>
                <w:sz w:val="22"/>
                <w:szCs w:val="22"/>
                <w:lang w:val="mk-MK"/>
              </w:rPr>
              <w:t>енергетика рударство и минерални суровини</w:t>
            </w:r>
          </w:p>
        </w:tc>
        <w:tc>
          <w:tcPr>
            <w:tcW w:w="4219" w:type="dxa"/>
            <w:tcBorders>
              <w:top w:val="single" w:sz="2" w:space="0" w:color="E1E4E8"/>
              <w:left w:val="single" w:sz="2" w:space="0" w:color="F6F8FA"/>
              <w:bottom w:val="single" w:sz="2" w:space="0" w:color="E1E4E8"/>
            </w:tcBorders>
            <w:tcMar>
              <w:top w:w="80" w:type="dxa"/>
              <w:bottom w:w="80" w:type="dxa"/>
            </w:tcMar>
            <w:vAlign w:val="center"/>
          </w:tcPr>
          <w:p w14:paraId="339B5353" w14:textId="77777777" w:rsidR="00FE200F" w:rsidRDefault="00E77CAF">
            <w:pPr>
              <w:pStyle w:val="MdTableCell"/>
              <w:rPr>
                <w:sz w:val="22"/>
                <w:szCs w:val="22"/>
                <w:lang w:val="mk-MK"/>
              </w:rPr>
            </w:pPr>
            <w:r>
              <w:rPr>
                <w:sz w:val="22"/>
                <w:szCs w:val="22"/>
              </w:rPr>
              <w:t>Сектор</w:t>
            </w:r>
            <w:r>
              <w:rPr>
                <w:sz w:val="22"/>
                <w:szCs w:val="22"/>
              </w:rPr>
              <w:t>ска примена на ВИ во енергетиката, кога е применливо.</w:t>
            </w:r>
          </w:p>
        </w:tc>
      </w:tr>
      <w:tr w:rsidR="00FE200F" w14:paraId="413AD306" w14:textId="77777777">
        <w:trPr>
          <w:cantSplit/>
          <w:trHeight w:val="576"/>
        </w:trPr>
        <w:tc>
          <w:tcPr>
            <w:tcW w:w="1856" w:type="dxa"/>
            <w:tcBorders>
              <w:top w:val="single" w:sz="2" w:space="0" w:color="E1E4E8"/>
              <w:bottom w:val="single" w:sz="2" w:space="0" w:color="E1E4E8"/>
              <w:right w:val="single" w:sz="2" w:space="0" w:color="F6F8FA"/>
            </w:tcBorders>
            <w:tcMar>
              <w:top w:w="80" w:type="dxa"/>
              <w:bottom w:w="80" w:type="dxa"/>
            </w:tcMar>
            <w:vAlign w:val="center"/>
          </w:tcPr>
          <w:p w14:paraId="4E8E1ED2" w14:textId="77777777" w:rsidR="00FE200F" w:rsidRDefault="00E77CAF">
            <w:pPr>
              <w:pStyle w:val="MdTableCell"/>
              <w:rPr>
                <w:sz w:val="22"/>
                <w:szCs w:val="22"/>
              </w:rPr>
            </w:pPr>
            <w:r>
              <w:rPr>
                <w:rStyle w:val="MdStrong"/>
                <w:b w:val="0"/>
                <w:bCs w:val="0"/>
                <w:sz w:val="22"/>
                <w:szCs w:val="22"/>
              </w:rPr>
              <w:t>МВР</w:t>
            </w:r>
          </w:p>
        </w:tc>
        <w:tc>
          <w:tcPr>
            <w:tcW w:w="3047" w:type="dxa"/>
            <w:tcBorders>
              <w:top w:val="single" w:sz="2" w:space="0" w:color="E1E4E8"/>
              <w:left w:val="single" w:sz="2" w:space="0" w:color="F6F8FA"/>
              <w:bottom w:val="single" w:sz="2" w:space="0" w:color="E1E4E8"/>
              <w:right w:val="single" w:sz="2" w:space="0" w:color="F6F8FA"/>
            </w:tcBorders>
            <w:tcMar>
              <w:top w:w="80" w:type="dxa"/>
              <w:bottom w:w="80" w:type="dxa"/>
            </w:tcMar>
            <w:vAlign w:val="center"/>
          </w:tcPr>
          <w:p w14:paraId="3D41423E" w14:textId="77777777" w:rsidR="00FE200F" w:rsidRDefault="00E77CAF">
            <w:pPr>
              <w:pStyle w:val="MdTableCell"/>
              <w:rPr>
                <w:sz w:val="22"/>
                <w:szCs w:val="22"/>
              </w:rPr>
            </w:pPr>
            <w:r>
              <w:rPr>
                <w:sz w:val="22"/>
                <w:szCs w:val="22"/>
              </w:rPr>
              <w:t>Министерство за внатрешни работи</w:t>
            </w:r>
          </w:p>
        </w:tc>
        <w:tc>
          <w:tcPr>
            <w:tcW w:w="4219" w:type="dxa"/>
            <w:tcBorders>
              <w:top w:val="single" w:sz="2" w:space="0" w:color="E1E4E8"/>
              <w:left w:val="single" w:sz="2" w:space="0" w:color="F6F8FA"/>
              <w:bottom w:val="single" w:sz="2" w:space="0" w:color="E1E4E8"/>
            </w:tcBorders>
            <w:tcMar>
              <w:top w:w="80" w:type="dxa"/>
              <w:bottom w:w="80" w:type="dxa"/>
            </w:tcMar>
            <w:vAlign w:val="center"/>
          </w:tcPr>
          <w:p w14:paraId="0B972A34" w14:textId="77777777" w:rsidR="00FE200F" w:rsidRDefault="00E77CAF">
            <w:pPr>
              <w:pStyle w:val="MdTableCell"/>
              <w:rPr>
                <w:sz w:val="22"/>
                <w:szCs w:val="22"/>
              </w:rPr>
            </w:pPr>
            <w:r>
              <w:rPr>
                <w:sz w:val="22"/>
                <w:szCs w:val="22"/>
              </w:rPr>
              <w:t>Релевантен партнер за сајбер-безбедност и безбедносни аспекти, кога е применливо.</w:t>
            </w:r>
          </w:p>
        </w:tc>
      </w:tr>
      <w:tr w:rsidR="00FE200F" w14:paraId="01E2A853" w14:textId="77777777">
        <w:trPr>
          <w:cantSplit/>
          <w:trHeight w:val="576"/>
        </w:trPr>
        <w:tc>
          <w:tcPr>
            <w:tcW w:w="1856" w:type="dxa"/>
            <w:tcBorders>
              <w:top w:val="single" w:sz="2" w:space="0" w:color="E1E4E8"/>
              <w:bottom w:val="single" w:sz="2" w:space="0" w:color="E1E4E8"/>
              <w:right w:val="single" w:sz="2" w:space="0" w:color="F6F8FA"/>
            </w:tcBorders>
            <w:tcMar>
              <w:top w:w="80" w:type="dxa"/>
              <w:bottom w:w="80" w:type="dxa"/>
            </w:tcMar>
            <w:vAlign w:val="center"/>
          </w:tcPr>
          <w:p w14:paraId="08BE679F" w14:textId="77777777" w:rsidR="00FE200F" w:rsidRDefault="00E77CAF">
            <w:pPr>
              <w:pStyle w:val="MdTableCell"/>
              <w:rPr>
                <w:sz w:val="22"/>
                <w:szCs w:val="22"/>
              </w:rPr>
            </w:pPr>
            <w:r>
              <w:rPr>
                <w:rStyle w:val="MdStrong"/>
                <w:b w:val="0"/>
                <w:bCs w:val="0"/>
                <w:sz w:val="22"/>
                <w:szCs w:val="22"/>
              </w:rPr>
              <w:lastRenderedPageBreak/>
              <w:t>ИНОВА</w:t>
            </w:r>
          </w:p>
        </w:tc>
        <w:tc>
          <w:tcPr>
            <w:tcW w:w="3047" w:type="dxa"/>
            <w:tcBorders>
              <w:top w:val="single" w:sz="2" w:space="0" w:color="E1E4E8"/>
              <w:left w:val="single" w:sz="2" w:space="0" w:color="F6F8FA"/>
              <w:bottom w:val="single" w:sz="2" w:space="0" w:color="E1E4E8"/>
              <w:right w:val="single" w:sz="2" w:space="0" w:color="F6F8FA"/>
            </w:tcBorders>
            <w:tcMar>
              <w:top w:w="80" w:type="dxa"/>
              <w:bottom w:w="80" w:type="dxa"/>
            </w:tcMar>
            <w:vAlign w:val="center"/>
          </w:tcPr>
          <w:p w14:paraId="0B99FB75" w14:textId="77777777" w:rsidR="00FE200F" w:rsidRDefault="00E77CAF">
            <w:pPr>
              <w:pStyle w:val="MdTableCell"/>
              <w:rPr>
                <w:sz w:val="22"/>
                <w:szCs w:val="22"/>
              </w:rPr>
            </w:pPr>
            <w:r>
              <w:rPr>
                <w:sz w:val="22"/>
                <w:szCs w:val="22"/>
              </w:rPr>
              <w:t>Агенција за иновации, научно-технолошки развој и претприемништво</w:t>
            </w:r>
          </w:p>
        </w:tc>
        <w:tc>
          <w:tcPr>
            <w:tcW w:w="4219" w:type="dxa"/>
            <w:tcBorders>
              <w:top w:val="single" w:sz="2" w:space="0" w:color="E1E4E8"/>
              <w:left w:val="single" w:sz="2" w:space="0" w:color="F6F8FA"/>
              <w:bottom w:val="single" w:sz="2" w:space="0" w:color="E1E4E8"/>
            </w:tcBorders>
            <w:tcMar>
              <w:top w:w="80" w:type="dxa"/>
              <w:bottom w:w="80" w:type="dxa"/>
            </w:tcMar>
            <w:vAlign w:val="center"/>
          </w:tcPr>
          <w:p w14:paraId="2D506FED" w14:textId="77777777" w:rsidR="00FE200F" w:rsidRDefault="00E77CAF">
            <w:pPr>
              <w:pStyle w:val="MdTableCell"/>
              <w:rPr>
                <w:sz w:val="22"/>
                <w:szCs w:val="22"/>
              </w:rPr>
            </w:pPr>
            <w:r>
              <w:rPr>
                <w:sz w:val="22"/>
                <w:szCs w:val="22"/>
              </w:rPr>
              <w:t xml:space="preserve">Поддршка </w:t>
            </w:r>
            <w:r>
              <w:rPr>
                <w:sz w:val="22"/>
                <w:szCs w:val="22"/>
              </w:rPr>
              <w:t>за ВИ иновации, стартапи, грантови и развој на иновацискиот екосистем.</w:t>
            </w:r>
          </w:p>
        </w:tc>
      </w:tr>
      <w:tr w:rsidR="00FE200F" w14:paraId="7EC62BA0" w14:textId="77777777">
        <w:trPr>
          <w:cantSplit/>
          <w:trHeight w:val="576"/>
        </w:trPr>
        <w:tc>
          <w:tcPr>
            <w:tcW w:w="1856" w:type="dxa"/>
            <w:tcBorders>
              <w:top w:val="single" w:sz="2" w:space="0" w:color="E1E4E8"/>
              <w:bottom w:val="single" w:sz="2" w:space="0" w:color="E1E4E8"/>
              <w:right w:val="single" w:sz="2" w:space="0" w:color="F6F8FA"/>
            </w:tcBorders>
            <w:tcMar>
              <w:top w:w="80" w:type="dxa"/>
              <w:bottom w:w="80" w:type="dxa"/>
            </w:tcMar>
            <w:vAlign w:val="center"/>
          </w:tcPr>
          <w:p w14:paraId="6F6027BB" w14:textId="77777777" w:rsidR="00FE200F" w:rsidRDefault="00E77CAF">
            <w:pPr>
              <w:pStyle w:val="MdTableCell"/>
              <w:rPr>
                <w:b/>
                <w:bCs/>
                <w:sz w:val="22"/>
                <w:szCs w:val="22"/>
                <w:lang w:val="mk-MK"/>
              </w:rPr>
            </w:pPr>
            <w:r>
              <w:rPr>
                <w:rStyle w:val="MdStrong"/>
                <w:b w:val="0"/>
                <w:bCs w:val="0"/>
                <w:sz w:val="22"/>
                <w:szCs w:val="22"/>
                <w:lang w:val="mk-MK"/>
              </w:rPr>
              <w:t>АСИПИ</w:t>
            </w:r>
          </w:p>
        </w:tc>
        <w:tc>
          <w:tcPr>
            <w:tcW w:w="3047" w:type="dxa"/>
            <w:tcBorders>
              <w:top w:val="single" w:sz="2" w:space="0" w:color="E1E4E8"/>
              <w:left w:val="single" w:sz="2" w:space="0" w:color="F6F8FA"/>
              <w:bottom w:val="single" w:sz="2" w:space="0" w:color="E1E4E8"/>
              <w:right w:val="single" w:sz="2" w:space="0" w:color="F6F8FA"/>
            </w:tcBorders>
            <w:tcMar>
              <w:top w:w="80" w:type="dxa"/>
              <w:bottom w:w="80" w:type="dxa"/>
            </w:tcMar>
            <w:vAlign w:val="center"/>
          </w:tcPr>
          <w:p w14:paraId="56E117E3" w14:textId="77777777" w:rsidR="00FE200F" w:rsidRDefault="00E77CAF">
            <w:pPr>
              <w:pStyle w:val="MdTableCell"/>
              <w:rPr>
                <w:sz w:val="22"/>
                <w:szCs w:val="22"/>
              </w:rPr>
            </w:pPr>
            <w:r>
              <w:rPr>
                <w:sz w:val="22"/>
                <w:szCs w:val="22"/>
              </w:rPr>
              <w:t>Агенција за странски инвестиции и промоција на извозот</w:t>
            </w:r>
          </w:p>
        </w:tc>
        <w:tc>
          <w:tcPr>
            <w:tcW w:w="4219" w:type="dxa"/>
            <w:tcBorders>
              <w:top w:val="single" w:sz="2" w:space="0" w:color="E1E4E8"/>
              <w:left w:val="single" w:sz="2" w:space="0" w:color="F6F8FA"/>
              <w:bottom w:val="single" w:sz="2" w:space="0" w:color="E1E4E8"/>
            </w:tcBorders>
            <w:tcMar>
              <w:top w:w="80" w:type="dxa"/>
              <w:bottom w:w="80" w:type="dxa"/>
            </w:tcMar>
            <w:vAlign w:val="center"/>
          </w:tcPr>
          <w:p w14:paraId="145E3FE7" w14:textId="77777777" w:rsidR="00FE200F" w:rsidRDefault="00E77CAF">
            <w:pPr>
              <w:pStyle w:val="MdTableCell"/>
              <w:rPr>
                <w:sz w:val="22"/>
                <w:szCs w:val="22"/>
              </w:rPr>
            </w:pPr>
            <w:r>
              <w:rPr>
                <w:sz w:val="22"/>
                <w:szCs w:val="22"/>
              </w:rPr>
              <w:t>Привлекување странски директни инвестиции и промоција на ВИ инвестициски можности.</w:t>
            </w:r>
          </w:p>
        </w:tc>
      </w:tr>
      <w:tr w:rsidR="00FE200F" w14:paraId="7D1DB3DF" w14:textId="77777777">
        <w:trPr>
          <w:cantSplit/>
          <w:trHeight w:val="576"/>
        </w:trPr>
        <w:tc>
          <w:tcPr>
            <w:tcW w:w="1856" w:type="dxa"/>
            <w:tcBorders>
              <w:top w:val="single" w:sz="2" w:space="0" w:color="E1E4E8"/>
              <w:bottom w:val="single" w:sz="2" w:space="0" w:color="E1E4E8"/>
              <w:right w:val="single" w:sz="2" w:space="0" w:color="F6F8FA"/>
            </w:tcBorders>
            <w:tcMar>
              <w:top w:w="80" w:type="dxa"/>
              <w:bottom w:w="80" w:type="dxa"/>
            </w:tcMar>
            <w:vAlign w:val="center"/>
          </w:tcPr>
          <w:p w14:paraId="1384877F" w14:textId="77777777" w:rsidR="00FE200F" w:rsidRDefault="00E77CAF">
            <w:pPr>
              <w:pStyle w:val="MdTableCell"/>
              <w:rPr>
                <w:b/>
                <w:bCs/>
                <w:sz w:val="22"/>
                <w:szCs w:val="22"/>
                <w:lang w:val="mk-MK"/>
              </w:rPr>
            </w:pPr>
            <w:r>
              <w:rPr>
                <w:rStyle w:val="MdStrong"/>
                <w:b w:val="0"/>
                <w:bCs w:val="0"/>
                <w:sz w:val="22"/>
                <w:szCs w:val="22"/>
                <w:lang w:val="mk-MK"/>
              </w:rPr>
              <w:t>БЈН</w:t>
            </w:r>
          </w:p>
        </w:tc>
        <w:tc>
          <w:tcPr>
            <w:tcW w:w="3047" w:type="dxa"/>
            <w:tcBorders>
              <w:top w:val="single" w:sz="2" w:space="0" w:color="E1E4E8"/>
              <w:left w:val="single" w:sz="2" w:space="0" w:color="F6F8FA"/>
              <w:bottom w:val="single" w:sz="2" w:space="0" w:color="E1E4E8"/>
              <w:right w:val="single" w:sz="2" w:space="0" w:color="F6F8FA"/>
            </w:tcBorders>
            <w:tcMar>
              <w:top w:w="80" w:type="dxa"/>
              <w:bottom w:w="80" w:type="dxa"/>
            </w:tcMar>
            <w:vAlign w:val="center"/>
          </w:tcPr>
          <w:p w14:paraId="5E4EDC0A" w14:textId="77777777" w:rsidR="00FE200F" w:rsidRDefault="00E77CAF">
            <w:pPr>
              <w:pStyle w:val="MdTableCell"/>
              <w:rPr>
                <w:sz w:val="22"/>
                <w:szCs w:val="22"/>
              </w:rPr>
            </w:pPr>
            <w:r>
              <w:rPr>
                <w:sz w:val="22"/>
                <w:szCs w:val="22"/>
              </w:rPr>
              <w:t>Биро за јавни набавки</w:t>
            </w:r>
          </w:p>
        </w:tc>
        <w:tc>
          <w:tcPr>
            <w:tcW w:w="4219" w:type="dxa"/>
            <w:tcBorders>
              <w:top w:val="single" w:sz="2" w:space="0" w:color="E1E4E8"/>
              <w:left w:val="single" w:sz="2" w:space="0" w:color="F6F8FA"/>
              <w:bottom w:val="single" w:sz="2" w:space="0" w:color="E1E4E8"/>
            </w:tcBorders>
            <w:tcMar>
              <w:top w:w="80" w:type="dxa"/>
              <w:bottom w:w="80" w:type="dxa"/>
            </w:tcMar>
            <w:vAlign w:val="center"/>
          </w:tcPr>
          <w:p w14:paraId="125C61B9" w14:textId="77777777" w:rsidR="00FE200F" w:rsidRDefault="00E77CAF">
            <w:pPr>
              <w:pStyle w:val="MdTableCell"/>
              <w:rPr>
                <w:sz w:val="22"/>
                <w:szCs w:val="22"/>
              </w:rPr>
            </w:pPr>
            <w:r>
              <w:rPr>
                <w:sz w:val="22"/>
                <w:szCs w:val="22"/>
              </w:rPr>
              <w:t>GovTech преди</w:t>
            </w:r>
            <w:r>
              <w:rPr>
                <w:sz w:val="22"/>
                <w:szCs w:val="22"/>
              </w:rPr>
              <w:t>звици, иновативни јавни набавки и модели за предкомерцијална набавка.</w:t>
            </w:r>
          </w:p>
        </w:tc>
      </w:tr>
      <w:tr w:rsidR="00FE200F" w14:paraId="2FA689A0" w14:textId="77777777">
        <w:trPr>
          <w:cantSplit/>
          <w:trHeight w:val="576"/>
        </w:trPr>
        <w:tc>
          <w:tcPr>
            <w:tcW w:w="1856" w:type="dxa"/>
            <w:tcBorders>
              <w:top w:val="single" w:sz="2" w:space="0" w:color="E1E4E8"/>
              <w:bottom w:val="single" w:sz="2" w:space="0" w:color="E1E4E8"/>
              <w:right w:val="single" w:sz="2" w:space="0" w:color="F6F8FA"/>
            </w:tcBorders>
            <w:tcMar>
              <w:top w:w="80" w:type="dxa"/>
              <w:bottom w:w="80" w:type="dxa"/>
            </w:tcMar>
            <w:vAlign w:val="center"/>
          </w:tcPr>
          <w:p w14:paraId="778A5EA8" w14:textId="77777777" w:rsidR="00FE200F" w:rsidRDefault="00E77CAF">
            <w:pPr>
              <w:pStyle w:val="MdTableCell"/>
              <w:rPr>
                <w:sz w:val="22"/>
                <w:szCs w:val="22"/>
              </w:rPr>
            </w:pPr>
            <w:r>
              <w:rPr>
                <w:rStyle w:val="MdStrong"/>
                <w:b w:val="0"/>
                <w:bCs w:val="0"/>
                <w:sz w:val="22"/>
                <w:szCs w:val="22"/>
              </w:rPr>
              <w:t>БРО</w:t>
            </w:r>
          </w:p>
        </w:tc>
        <w:tc>
          <w:tcPr>
            <w:tcW w:w="3047" w:type="dxa"/>
            <w:tcBorders>
              <w:top w:val="single" w:sz="2" w:space="0" w:color="E1E4E8"/>
              <w:left w:val="single" w:sz="2" w:space="0" w:color="F6F8FA"/>
              <w:bottom w:val="single" w:sz="2" w:space="0" w:color="E1E4E8"/>
              <w:right w:val="single" w:sz="2" w:space="0" w:color="F6F8FA"/>
            </w:tcBorders>
            <w:tcMar>
              <w:top w:w="80" w:type="dxa"/>
              <w:bottom w:w="80" w:type="dxa"/>
            </w:tcMar>
            <w:vAlign w:val="center"/>
          </w:tcPr>
          <w:p w14:paraId="125E3B69" w14:textId="77777777" w:rsidR="00FE200F" w:rsidRDefault="00E77CAF">
            <w:pPr>
              <w:pStyle w:val="MdTableCell"/>
              <w:rPr>
                <w:sz w:val="22"/>
                <w:szCs w:val="22"/>
              </w:rPr>
            </w:pPr>
            <w:r>
              <w:rPr>
                <w:sz w:val="22"/>
                <w:szCs w:val="22"/>
              </w:rPr>
              <w:t>Биро за развој на образованието</w:t>
            </w:r>
          </w:p>
        </w:tc>
        <w:tc>
          <w:tcPr>
            <w:tcW w:w="4219" w:type="dxa"/>
            <w:tcBorders>
              <w:top w:val="single" w:sz="2" w:space="0" w:color="E1E4E8"/>
              <w:left w:val="single" w:sz="2" w:space="0" w:color="F6F8FA"/>
              <w:bottom w:val="single" w:sz="2" w:space="0" w:color="E1E4E8"/>
            </w:tcBorders>
            <w:tcMar>
              <w:top w:w="80" w:type="dxa"/>
              <w:bottom w:w="80" w:type="dxa"/>
            </w:tcMar>
            <w:vAlign w:val="center"/>
          </w:tcPr>
          <w:p w14:paraId="4419DFAB" w14:textId="77777777" w:rsidR="00FE200F" w:rsidRDefault="00E77CAF">
            <w:pPr>
              <w:pStyle w:val="MdTableCell"/>
              <w:rPr>
                <w:sz w:val="22"/>
                <w:szCs w:val="22"/>
              </w:rPr>
            </w:pPr>
            <w:r>
              <w:rPr>
                <w:sz w:val="22"/>
                <w:szCs w:val="22"/>
              </w:rPr>
              <w:t>Развој и спроведување на наставни програми и образовни ресурси.</w:t>
            </w:r>
          </w:p>
        </w:tc>
      </w:tr>
      <w:tr w:rsidR="00FE200F" w14:paraId="0D757AF9" w14:textId="77777777">
        <w:trPr>
          <w:cantSplit/>
          <w:trHeight w:val="576"/>
        </w:trPr>
        <w:tc>
          <w:tcPr>
            <w:tcW w:w="1856" w:type="dxa"/>
            <w:tcBorders>
              <w:top w:val="single" w:sz="2" w:space="0" w:color="E1E4E8"/>
              <w:bottom w:val="single" w:sz="2" w:space="0" w:color="E1E4E8"/>
              <w:right w:val="single" w:sz="2" w:space="0" w:color="F6F8FA"/>
            </w:tcBorders>
            <w:tcMar>
              <w:top w:w="80" w:type="dxa"/>
              <w:bottom w:w="80" w:type="dxa"/>
            </w:tcMar>
            <w:vAlign w:val="center"/>
          </w:tcPr>
          <w:p w14:paraId="22FA852F" w14:textId="77777777" w:rsidR="00FE200F" w:rsidRDefault="00E77CAF">
            <w:pPr>
              <w:pStyle w:val="MdTableCell"/>
              <w:rPr>
                <w:sz w:val="22"/>
                <w:szCs w:val="22"/>
              </w:rPr>
            </w:pPr>
            <w:r>
              <w:rPr>
                <w:rStyle w:val="MdStrong"/>
                <w:b w:val="0"/>
                <w:bCs w:val="0"/>
                <w:sz w:val="22"/>
                <w:szCs w:val="22"/>
              </w:rPr>
              <w:t>АВРМ</w:t>
            </w:r>
          </w:p>
        </w:tc>
        <w:tc>
          <w:tcPr>
            <w:tcW w:w="3047" w:type="dxa"/>
            <w:tcBorders>
              <w:top w:val="single" w:sz="2" w:space="0" w:color="E1E4E8"/>
              <w:left w:val="single" w:sz="2" w:space="0" w:color="F6F8FA"/>
              <w:bottom w:val="single" w:sz="2" w:space="0" w:color="E1E4E8"/>
              <w:right w:val="single" w:sz="2" w:space="0" w:color="F6F8FA"/>
            </w:tcBorders>
            <w:tcMar>
              <w:top w:w="80" w:type="dxa"/>
              <w:bottom w:w="80" w:type="dxa"/>
            </w:tcMar>
            <w:vAlign w:val="center"/>
          </w:tcPr>
          <w:p w14:paraId="7FD42F8A" w14:textId="77777777" w:rsidR="00FE200F" w:rsidRDefault="00E77CAF">
            <w:pPr>
              <w:pStyle w:val="MdTableCell"/>
              <w:rPr>
                <w:sz w:val="22"/>
                <w:szCs w:val="22"/>
              </w:rPr>
            </w:pPr>
            <w:r>
              <w:rPr>
                <w:sz w:val="22"/>
                <w:szCs w:val="22"/>
              </w:rPr>
              <w:t>Агенција за вработување на Република Северна Македонија</w:t>
            </w:r>
          </w:p>
        </w:tc>
        <w:tc>
          <w:tcPr>
            <w:tcW w:w="4219" w:type="dxa"/>
            <w:tcBorders>
              <w:top w:val="single" w:sz="2" w:space="0" w:color="E1E4E8"/>
              <w:left w:val="single" w:sz="2" w:space="0" w:color="F6F8FA"/>
              <w:bottom w:val="single" w:sz="2" w:space="0" w:color="E1E4E8"/>
            </w:tcBorders>
            <w:tcMar>
              <w:top w:w="80" w:type="dxa"/>
              <w:bottom w:w="80" w:type="dxa"/>
            </w:tcMar>
            <w:vAlign w:val="center"/>
          </w:tcPr>
          <w:p w14:paraId="0A30CEAD" w14:textId="77777777" w:rsidR="00FE200F" w:rsidRDefault="00E77CAF">
            <w:pPr>
              <w:pStyle w:val="MdTableCell"/>
              <w:rPr>
                <w:sz w:val="22"/>
                <w:szCs w:val="22"/>
              </w:rPr>
            </w:pPr>
            <w:r>
              <w:rPr>
                <w:sz w:val="22"/>
                <w:szCs w:val="22"/>
              </w:rPr>
              <w:t xml:space="preserve">Преквалификација, </w:t>
            </w:r>
            <w:r>
              <w:rPr>
                <w:sz w:val="22"/>
                <w:szCs w:val="22"/>
              </w:rPr>
              <w:t>вработливост и активни мерки на пазарот на труд.</w:t>
            </w:r>
          </w:p>
        </w:tc>
      </w:tr>
      <w:tr w:rsidR="00FE200F" w14:paraId="36AC5635" w14:textId="77777777">
        <w:trPr>
          <w:cantSplit/>
          <w:trHeight w:val="576"/>
        </w:trPr>
        <w:tc>
          <w:tcPr>
            <w:tcW w:w="1856" w:type="dxa"/>
            <w:tcBorders>
              <w:top w:val="single" w:sz="2" w:space="0" w:color="E1E4E8"/>
              <w:bottom w:val="single" w:sz="2" w:space="0" w:color="E1E4E8"/>
              <w:right w:val="single" w:sz="2" w:space="0" w:color="F6F8FA"/>
            </w:tcBorders>
            <w:tcMar>
              <w:top w:w="80" w:type="dxa"/>
              <w:bottom w:w="80" w:type="dxa"/>
            </w:tcMar>
            <w:vAlign w:val="center"/>
          </w:tcPr>
          <w:p w14:paraId="6EFB57CE" w14:textId="77777777" w:rsidR="00FE200F" w:rsidRDefault="00E77CAF">
            <w:pPr>
              <w:pStyle w:val="MdTableCell"/>
              <w:rPr>
                <w:sz w:val="22"/>
                <w:szCs w:val="22"/>
              </w:rPr>
            </w:pPr>
            <w:r>
              <w:rPr>
                <w:rStyle w:val="MdStrong"/>
                <w:b w:val="0"/>
                <w:bCs w:val="0"/>
                <w:sz w:val="22"/>
                <w:szCs w:val="22"/>
              </w:rPr>
              <w:t>ДЗС</w:t>
            </w:r>
          </w:p>
        </w:tc>
        <w:tc>
          <w:tcPr>
            <w:tcW w:w="3047" w:type="dxa"/>
            <w:tcBorders>
              <w:top w:val="single" w:sz="2" w:space="0" w:color="E1E4E8"/>
              <w:left w:val="single" w:sz="2" w:space="0" w:color="F6F8FA"/>
              <w:bottom w:val="single" w:sz="2" w:space="0" w:color="E1E4E8"/>
              <w:right w:val="single" w:sz="2" w:space="0" w:color="F6F8FA"/>
            </w:tcBorders>
            <w:tcMar>
              <w:top w:w="80" w:type="dxa"/>
              <w:bottom w:w="80" w:type="dxa"/>
            </w:tcMar>
            <w:vAlign w:val="center"/>
          </w:tcPr>
          <w:p w14:paraId="3B646043" w14:textId="77777777" w:rsidR="00FE200F" w:rsidRDefault="00E77CAF">
            <w:pPr>
              <w:pStyle w:val="MdTableCell"/>
              <w:rPr>
                <w:sz w:val="22"/>
                <w:szCs w:val="22"/>
              </w:rPr>
            </w:pPr>
            <w:r>
              <w:rPr>
                <w:sz w:val="22"/>
                <w:szCs w:val="22"/>
              </w:rPr>
              <w:t>Државен завод за статистика</w:t>
            </w:r>
          </w:p>
        </w:tc>
        <w:tc>
          <w:tcPr>
            <w:tcW w:w="4219" w:type="dxa"/>
            <w:tcBorders>
              <w:top w:val="single" w:sz="2" w:space="0" w:color="E1E4E8"/>
              <w:left w:val="single" w:sz="2" w:space="0" w:color="F6F8FA"/>
              <w:bottom w:val="single" w:sz="2" w:space="0" w:color="E1E4E8"/>
            </w:tcBorders>
            <w:tcMar>
              <w:top w:w="80" w:type="dxa"/>
              <w:bottom w:w="80" w:type="dxa"/>
            </w:tcMar>
            <w:vAlign w:val="center"/>
          </w:tcPr>
          <w:p w14:paraId="14CDCFDF" w14:textId="77777777" w:rsidR="00FE200F" w:rsidRDefault="00E77CAF">
            <w:pPr>
              <w:pStyle w:val="MdTableCell"/>
              <w:rPr>
                <w:sz w:val="22"/>
                <w:szCs w:val="22"/>
              </w:rPr>
            </w:pPr>
            <w:r>
              <w:rPr>
                <w:sz w:val="22"/>
                <w:szCs w:val="22"/>
              </w:rPr>
              <w:t>Статистички податоци, методологии и квалитет на податоци.</w:t>
            </w:r>
          </w:p>
        </w:tc>
      </w:tr>
      <w:tr w:rsidR="00FE200F" w14:paraId="5F8120FE" w14:textId="77777777">
        <w:trPr>
          <w:cantSplit/>
          <w:trHeight w:val="576"/>
        </w:trPr>
        <w:tc>
          <w:tcPr>
            <w:tcW w:w="1856" w:type="dxa"/>
            <w:tcBorders>
              <w:top w:val="single" w:sz="2" w:space="0" w:color="E1E4E8"/>
              <w:bottom w:val="single" w:sz="2" w:space="0" w:color="E1E4E8"/>
              <w:right w:val="single" w:sz="2" w:space="0" w:color="F6F8FA"/>
            </w:tcBorders>
            <w:tcMar>
              <w:top w:w="80" w:type="dxa"/>
              <w:bottom w:w="80" w:type="dxa"/>
            </w:tcMar>
            <w:vAlign w:val="center"/>
          </w:tcPr>
          <w:p w14:paraId="0C7411F0" w14:textId="77777777" w:rsidR="00FE200F" w:rsidRDefault="00E77CAF">
            <w:pPr>
              <w:pStyle w:val="MdTableCell"/>
              <w:rPr>
                <w:sz w:val="22"/>
                <w:szCs w:val="22"/>
              </w:rPr>
            </w:pPr>
            <w:r>
              <w:rPr>
                <w:rStyle w:val="MdStrong"/>
                <w:b w:val="0"/>
                <w:bCs w:val="0"/>
                <w:sz w:val="22"/>
                <w:szCs w:val="22"/>
              </w:rPr>
              <w:t>АЗЛП</w:t>
            </w:r>
          </w:p>
        </w:tc>
        <w:tc>
          <w:tcPr>
            <w:tcW w:w="3047" w:type="dxa"/>
            <w:tcBorders>
              <w:top w:val="single" w:sz="2" w:space="0" w:color="E1E4E8"/>
              <w:left w:val="single" w:sz="2" w:space="0" w:color="F6F8FA"/>
              <w:bottom w:val="single" w:sz="2" w:space="0" w:color="E1E4E8"/>
              <w:right w:val="single" w:sz="2" w:space="0" w:color="F6F8FA"/>
            </w:tcBorders>
            <w:tcMar>
              <w:top w:w="80" w:type="dxa"/>
              <w:bottom w:w="80" w:type="dxa"/>
            </w:tcMar>
            <w:vAlign w:val="center"/>
          </w:tcPr>
          <w:p w14:paraId="5BE0E021" w14:textId="77777777" w:rsidR="00FE200F" w:rsidRDefault="00E77CAF">
            <w:pPr>
              <w:pStyle w:val="MdTableCell"/>
              <w:rPr>
                <w:sz w:val="22"/>
                <w:szCs w:val="22"/>
              </w:rPr>
            </w:pPr>
            <w:r>
              <w:rPr>
                <w:sz w:val="22"/>
                <w:szCs w:val="22"/>
              </w:rPr>
              <w:t>Агенција за заштита на личните податоци</w:t>
            </w:r>
          </w:p>
        </w:tc>
        <w:tc>
          <w:tcPr>
            <w:tcW w:w="4219" w:type="dxa"/>
            <w:tcBorders>
              <w:top w:val="single" w:sz="2" w:space="0" w:color="E1E4E8"/>
              <w:left w:val="single" w:sz="2" w:space="0" w:color="F6F8FA"/>
              <w:bottom w:val="single" w:sz="2" w:space="0" w:color="E1E4E8"/>
            </w:tcBorders>
            <w:tcMar>
              <w:top w:w="80" w:type="dxa"/>
              <w:bottom w:w="80" w:type="dxa"/>
            </w:tcMar>
            <w:vAlign w:val="center"/>
          </w:tcPr>
          <w:p w14:paraId="5D0337D0" w14:textId="77777777" w:rsidR="00FE200F" w:rsidRDefault="00E77CAF">
            <w:pPr>
              <w:pStyle w:val="MdTableCell"/>
              <w:rPr>
                <w:sz w:val="22"/>
                <w:szCs w:val="22"/>
              </w:rPr>
            </w:pPr>
            <w:r>
              <w:rPr>
                <w:sz w:val="22"/>
                <w:szCs w:val="22"/>
              </w:rPr>
              <w:t>Заштита на личните податоци и усогласување со релевантната регулатива.</w:t>
            </w:r>
          </w:p>
        </w:tc>
      </w:tr>
      <w:tr w:rsidR="00FE200F" w14:paraId="2B7D094D" w14:textId="77777777">
        <w:trPr>
          <w:cantSplit/>
          <w:trHeight w:val="576"/>
        </w:trPr>
        <w:tc>
          <w:tcPr>
            <w:tcW w:w="1856" w:type="dxa"/>
            <w:tcBorders>
              <w:top w:val="single" w:sz="2" w:space="0" w:color="E1E4E8"/>
              <w:bottom w:val="single" w:sz="2" w:space="0" w:color="E1E4E8"/>
              <w:right w:val="single" w:sz="2" w:space="0" w:color="F6F8FA"/>
            </w:tcBorders>
            <w:tcMar>
              <w:top w:w="80" w:type="dxa"/>
              <w:bottom w:w="80" w:type="dxa"/>
            </w:tcMar>
            <w:vAlign w:val="center"/>
          </w:tcPr>
          <w:p w14:paraId="77DBA8D4" w14:textId="77777777" w:rsidR="00FE200F" w:rsidRDefault="00E77CAF">
            <w:pPr>
              <w:pStyle w:val="MdTableCell"/>
              <w:rPr>
                <w:sz w:val="22"/>
                <w:szCs w:val="22"/>
              </w:rPr>
            </w:pPr>
            <w:r>
              <w:rPr>
                <w:rStyle w:val="MdStrong"/>
                <w:b w:val="0"/>
                <w:bCs w:val="0"/>
                <w:sz w:val="22"/>
                <w:szCs w:val="22"/>
              </w:rPr>
              <w:t>МАНУ</w:t>
            </w:r>
          </w:p>
        </w:tc>
        <w:tc>
          <w:tcPr>
            <w:tcW w:w="3047" w:type="dxa"/>
            <w:tcBorders>
              <w:top w:val="single" w:sz="2" w:space="0" w:color="E1E4E8"/>
              <w:left w:val="single" w:sz="2" w:space="0" w:color="F6F8FA"/>
              <w:bottom w:val="single" w:sz="2" w:space="0" w:color="E1E4E8"/>
              <w:right w:val="single" w:sz="2" w:space="0" w:color="F6F8FA"/>
            </w:tcBorders>
            <w:tcMar>
              <w:top w:w="80" w:type="dxa"/>
              <w:bottom w:w="80" w:type="dxa"/>
            </w:tcMar>
            <w:vAlign w:val="center"/>
          </w:tcPr>
          <w:p w14:paraId="40E8D72F" w14:textId="77777777" w:rsidR="00FE200F" w:rsidRDefault="00E77CAF">
            <w:pPr>
              <w:pStyle w:val="MdTableCell"/>
              <w:rPr>
                <w:sz w:val="22"/>
                <w:szCs w:val="22"/>
              </w:rPr>
            </w:pPr>
            <w:r>
              <w:rPr>
                <w:sz w:val="22"/>
                <w:szCs w:val="22"/>
              </w:rPr>
              <w:t>Македонска академија на науките и уметностите</w:t>
            </w:r>
          </w:p>
        </w:tc>
        <w:tc>
          <w:tcPr>
            <w:tcW w:w="4219" w:type="dxa"/>
            <w:tcBorders>
              <w:top w:val="single" w:sz="2" w:space="0" w:color="E1E4E8"/>
              <w:left w:val="single" w:sz="2" w:space="0" w:color="F6F8FA"/>
              <w:bottom w:val="single" w:sz="2" w:space="0" w:color="E1E4E8"/>
            </w:tcBorders>
            <w:tcMar>
              <w:top w:w="80" w:type="dxa"/>
              <w:bottom w:w="80" w:type="dxa"/>
            </w:tcMar>
            <w:vAlign w:val="center"/>
          </w:tcPr>
          <w:p w14:paraId="3F93FDD1" w14:textId="77777777" w:rsidR="00FE200F" w:rsidRDefault="00E77CAF">
            <w:pPr>
              <w:pStyle w:val="MdTableCell"/>
              <w:rPr>
                <w:sz w:val="22"/>
                <w:szCs w:val="22"/>
              </w:rPr>
            </w:pPr>
            <w:r>
              <w:rPr>
                <w:sz w:val="22"/>
                <w:szCs w:val="22"/>
              </w:rPr>
              <w:t>Научно-истражувачка експертиза и стратешка научна поддршка.</w:t>
            </w:r>
          </w:p>
        </w:tc>
      </w:tr>
      <w:tr w:rsidR="00FE200F" w14:paraId="592C6742" w14:textId="77777777">
        <w:trPr>
          <w:cantSplit/>
          <w:trHeight w:val="576"/>
        </w:trPr>
        <w:tc>
          <w:tcPr>
            <w:tcW w:w="1856" w:type="dxa"/>
            <w:tcBorders>
              <w:top w:val="single" w:sz="2" w:space="0" w:color="E1E4E8"/>
              <w:bottom w:val="single" w:sz="2" w:space="0" w:color="E1E4E8"/>
              <w:right w:val="single" w:sz="2" w:space="0" w:color="F6F8FA"/>
            </w:tcBorders>
            <w:tcMar>
              <w:top w:w="80" w:type="dxa"/>
              <w:bottom w:w="80" w:type="dxa"/>
            </w:tcMar>
            <w:vAlign w:val="center"/>
          </w:tcPr>
          <w:p w14:paraId="76DAA8A9" w14:textId="77777777" w:rsidR="00FE200F" w:rsidRDefault="00E77CAF">
            <w:pPr>
              <w:pStyle w:val="MdTableCell"/>
              <w:rPr>
                <w:sz w:val="22"/>
                <w:szCs w:val="22"/>
              </w:rPr>
            </w:pPr>
            <w:r>
              <w:rPr>
                <w:rStyle w:val="MdStrong"/>
                <w:b w:val="0"/>
                <w:bCs w:val="0"/>
                <w:sz w:val="22"/>
                <w:szCs w:val="22"/>
              </w:rPr>
              <w:t>МАСИТ</w:t>
            </w:r>
          </w:p>
        </w:tc>
        <w:tc>
          <w:tcPr>
            <w:tcW w:w="3047" w:type="dxa"/>
            <w:tcBorders>
              <w:top w:val="single" w:sz="2" w:space="0" w:color="E1E4E8"/>
              <w:left w:val="single" w:sz="2" w:space="0" w:color="F6F8FA"/>
              <w:bottom w:val="single" w:sz="2" w:space="0" w:color="E1E4E8"/>
              <w:right w:val="single" w:sz="2" w:space="0" w:color="F6F8FA"/>
            </w:tcBorders>
            <w:tcMar>
              <w:top w:w="80" w:type="dxa"/>
              <w:bottom w:w="80" w:type="dxa"/>
            </w:tcMar>
            <w:vAlign w:val="center"/>
          </w:tcPr>
          <w:p w14:paraId="3D85457E" w14:textId="77777777" w:rsidR="00FE200F" w:rsidRDefault="00E77CAF">
            <w:pPr>
              <w:pStyle w:val="MdTableCell"/>
              <w:rPr>
                <w:sz w:val="22"/>
                <w:szCs w:val="22"/>
              </w:rPr>
            </w:pPr>
            <w:r>
              <w:rPr>
                <w:sz w:val="22"/>
                <w:szCs w:val="22"/>
              </w:rPr>
              <w:t>Стопанска комора за информатички и комуникациски технологии</w:t>
            </w:r>
          </w:p>
        </w:tc>
        <w:tc>
          <w:tcPr>
            <w:tcW w:w="4219" w:type="dxa"/>
            <w:tcBorders>
              <w:top w:val="single" w:sz="2" w:space="0" w:color="E1E4E8"/>
              <w:left w:val="single" w:sz="2" w:space="0" w:color="F6F8FA"/>
              <w:bottom w:val="single" w:sz="2" w:space="0" w:color="E1E4E8"/>
            </w:tcBorders>
            <w:tcMar>
              <w:top w:w="80" w:type="dxa"/>
              <w:bottom w:w="80" w:type="dxa"/>
            </w:tcMar>
            <w:vAlign w:val="center"/>
          </w:tcPr>
          <w:p w14:paraId="3CC7D468" w14:textId="77777777" w:rsidR="00FE200F" w:rsidRDefault="00E77CAF">
            <w:pPr>
              <w:pStyle w:val="MdTableCell"/>
              <w:rPr>
                <w:sz w:val="22"/>
                <w:szCs w:val="22"/>
              </w:rPr>
            </w:pPr>
            <w:r>
              <w:rPr>
                <w:sz w:val="22"/>
                <w:szCs w:val="22"/>
              </w:rPr>
              <w:t>Претставување на ИКТ индустријата, експертиза и поддршка за ВИ екосистемот.</w:t>
            </w:r>
          </w:p>
        </w:tc>
      </w:tr>
      <w:tr w:rsidR="00FE200F" w14:paraId="35D8DCB3" w14:textId="77777777">
        <w:trPr>
          <w:cantSplit/>
          <w:trHeight w:val="576"/>
        </w:trPr>
        <w:tc>
          <w:tcPr>
            <w:tcW w:w="1856" w:type="dxa"/>
            <w:tcBorders>
              <w:top w:val="single" w:sz="2" w:space="0" w:color="E1E4E8"/>
              <w:bottom w:val="single" w:sz="2" w:space="0" w:color="E1E4E8"/>
              <w:right w:val="single" w:sz="2" w:space="0" w:color="F6F8FA"/>
            </w:tcBorders>
            <w:tcMar>
              <w:top w:w="80" w:type="dxa"/>
              <w:bottom w:w="80" w:type="dxa"/>
            </w:tcMar>
            <w:vAlign w:val="center"/>
          </w:tcPr>
          <w:p w14:paraId="178221C6" w14:textId="77777777" w:rsidR="00FE200F" w:rsidRDefault="00E77CAF">
            <w:pPr>
              <w:pStyle w:val="MdTableCell"/>
              <w:rPr>
                <w:sz w:val="22"/>
                <w:szCs w:val="22"/>
              </w:rPr>
            </w:pPr>
            <w:r>
              <w:rPr>
                <w:rStyle w:val="MdStrong"/>
                <w:b w:val="0"/>
                <w:bCs w:val="0"/>
                <w:sz w:val="22"/>
                <w:szCs w:val="22"/>
              </w:rPr>
              <w:t>ИСРСМ</w:t>
            </w:r>
          </w:p>
        </w:tc>
        <w:tc>
          <w:tcPr>
            <w:tcW w:w="3047" w:type="dxa"/>
            <w:tcBorders>
              <w:top w:val="single" w:sz="2" w:space="0" w:color="E1E4E8"/>
              <w:left w:val="single" w:sz="2" w:space="0" w:color="F6F8FA"/>
              <w:bottom w:val="single" w:sz="2" w:space="0" w:color="E1E4E8"/>
              <w:right w:val="single" w:sz="2" w:space="0" w:color="F6F8FA"/>
            </w:tcBorders>
            <w:tcMar>
              <w:top w:w="80" w:type="dxa"/>
              <w:bottom w:w="80" w:type="dxa"/>
            </w:tcMar>
            <w:vAlign w:val="center"/>
          </w:tcPr>
          <w:p w14:paraId="765677C0" w14:textId="77777777" w:rsidR="00FE200F" w:rsidRDefault="00E77CAF">
            <w:pPr>
              <w:pStyle w:val="MdTableCell"/>
              <w:rPr>
                <w:sz w:val="22"/>
                <w:szCs w:val="22"/>
              </w:rPr>
            </w:pPr>
            <w:r>
              <w:rPr>
                <w:sz w:val="22"/>
                <w:szCs w:val="22"/>
              </w:rPr>
              <w:t>Институт за стандардизација на Република Северна Македонија</w:t>
            </w:r>
          </w:p>
        </w:tc>
        <w:tc>
          <w:tcPr>
            <w:tcW w:w="4219" w:type="dxa"/>
            <w:tcBorders>
              <w:top w:val="single" w:sz="2" w:space="0" w:color="E1E4E8"/>
              <w:left w:val="single" w:sz="2" w:space="0" w:color="F6F8FA"/>
              <w:bottom w:val="single" w:sz="2" w:space="0" w:color="E1E4E8"/>
            </w:tcBorders>
            <w:tcMar>
              <w:top w:w="80" w:type="dxa"/>
              <w:bottom w:w="80" w:type="dxa"/>
            </w:tcMar>
            <w:vAlign w:val="center"/>
          </w:tcPr>
          <w:p w14:paraId="6E3D043F" w14:textId="77777777" w:rsidR="00FE200F" w:rsidRDefault="00E77CAF">
            <w:pPr>
              <w:pStyle w:val="MdTableCell"/>
              <w:rPr>
                <w:sz w:val="22"/>
                <w:szCs w:val="22"/>
              </w:rPr>
            </w:pPr>
            <w:r>
              <w:rPr>
                <w:sz w:val="22"/>
                <w:szCs w:val="22"/>
              </w:rPr>
              <w:t>Учество во националната стандардизација и во релевантните технички комитети, во согласност со својот мандат, за утврдување, усвојување и дисеминација на применливи стандарди за ВИ и интероп</w:t>
            </w:r>
            <w:r>
              <w:rPr>
                <w:sz w:val="22"/>
                <w:szCs w:val="22"/>
              </w:rPr>
              <w:t>ерабилност. ИСРСМ не е носител на ВИ политика, јавни набавки, регулаторни или надзорни функции, освен ако таква надлежност не е изречно утврдена со закон.</w:t>
            </w:r>
          </w:p>
        </w:tc>
      </w:tr>
      <w:tr w:rsidR="00FE200F" w14:paraId="4DE1AE5A" w14:textId="77777777">
        <w:trPr>
          <w:cantSplit/>
          <w:trHeight w:val="576"/>
        </w:trPr>
        <w:tc>
          <w:tcPr>
            <w:tcW w:w="1856" w:type="dxa"/>
            <w:tcBorders>
              <w:top w:val="single" w:sz="2" w:space="0" w:color="E1E4E8"/>
              <w:bottom w:val="single" w:sz="4" w:space="0" w:color="E1E4E8"/>
              <w:right w:val="single" w:sz="2" w:space="0" w:color="F6F8FA"/>
            </w:tcBorders>
            <w:tcMar>
              <w:top w:w="80" w:type="dxa"/>
              <w:bottom w:w="80" w:type="dxa"/>
            </w:tcMar>
            <w:vAlign w:val="center"/>
          </w:tcPr>
          <w:p w14:paraId="5B978396" w14:textId="77777777" w:rsidR="00FE200F" w:rsidRDefault="00E77CAF">
            <w:pPr>
              <w:pStyle w:val="MdTableCell"/>
              <w:rPr>
                <w:sz w:val="22"/>
                <w:szCs w:val="22"/>
              </w:rPr>
            </w:pPr>
            <w:r>
              <w:rPr>
                <w:rStyle w:val="MdStrong"/>
                <w:b w:val="0"/>
                <w:bCs w:val="0"/>
                <w:sz w:val="22"/>
                <w:szCs w:val="22"/>
              </w:rPr>
              <w:lastRenderedPageBreak/>
              <w:t>Омбудсман</w:t>
            </w:r>
          </w:p>
        </w:tc>
        <w:tc>
          <w:tcPr>
            <w:tcW w:w="3047" w:type="dxa"/>
            <w:tcBorders>
              <w:top w:val="single" w:sz="2" w:space="0" w:color="E1E4E8"/>
              <w:left w:val="single" w:sz="2" w:space="0" w:color="F6F8FA"/>
              <w:bottom w:val="single" w:sz="4" w:space="0" w:color="E1E4E8"/>
              <w:right w:val="single" w:sz="2" w:space="0" w:color="F6F8FA"/>
            </w:tcBorders>
            <w:tcMar>
              <w:top w:w="80" w:type="dxa"/>
              <w:bottom w:w="80" w:type="dxa"/>
            </w:tcMar>
            <w:vAlign w:val="center"/>
          </w:tcPr>
          <w:p w14:paraId="5E9FF30C" w14:textId="77777777" w:rsidR="00FE200F" w:rsidRDefault="00E77CAF">
            <w:pPr>
              <w:pStyle w:val="MdTableCell"/>
              <w:rPr>
                <w:sz w:val="22"/>
                <w:szCs w:val="22"/>
              </w:rPr>
            </w:pPr>
            <w:r>
              <w:rPr>
                <w:sz w:val="22"/>
                <w:szCs w:val="22"/>
              </w:rPr>
              <w:t>Народен правобранител на Република Северна Македонија</w:t>
            </w:r>
          </w:p>
        </w:tc>
        <w:tc>
          <w:tcPr>
            <w:tcW w:w="4219" w:type="dxa"/>
            <w:tcBorders>
              <w:top w:val="single" w:sz="2" w:space="0" w:color="E1E4E8"/>
              <w:left w:val="single" w:sz="2" w:space="0" w:color="F6F8FA"/>
              <w:bottom w:val="single" w:sz="4" w:space="0" w:color="E1E4E8"/>
            </w:tcBorders>
            <w:tcMar>
              <w:top w:w="80" w:type="dxa"/>
              <w:bottom w:w="80" w:type="dxa"/>
            </w:tcMar>
            <w:vAlign w:val="center"/>
          </w:tcPr>
          <w:p w14:paraId="393C003B" w14:textId="77777777" w:rsidR="00FE200F" w:rsidRDefault="00E77CAF">
            <w:pPr>
              <w:pStyle w:val="MdTableCell"/>
              <w:rPr>
                <w:sz w:val="22"/>
                <w:szCs w:val="22"/>
              </w:rPr>
            </w:pPr>
            <w:r>
              <w:rPr>
                <w:sz w:val="22"/>
                <w:szCs w:val="22"/>
              </w:rPr>
              <w:t>Човекови права, недискриминација и м</w:t>
            </w:r>
            <w:r>
              <w:rPr>
                <w:sz w:val="22"/>
                <w:szCs w:val="22"/>
              </w:rPr>
              <w:t>еханизми за заштита на граѓаните.</w:t>
            </w:r>
          </w:p>
        </w:tc>
      </w:tr>
    </w:tbl>
    <w:p w14:paraId="65EA8125" w14:textId="77777777" w:rsidR="00FE200F" w:rsidRDefault="00E77CAF">
      <w:pPr>
        <w:pStyle w:val="MdHeading2"/>
        <w:rPr>
          <w:sz w:val="24"/>
          <w:szCs w:val="24"/>
        </w:rPr>
      </w:pPr>
      <w:bookmarkStart w:id="169" w:name="_Toc240630110"/>
      <w:bookmarkStart w:id="170" w:name="_Toc243908053"/>
      <w:r>
        <w:rPr>
          <w:sz w:val="24"/>
          <w:szCs w:val="24"/>
        </w:rPr>
        <w:t>Високообразовни и истражувачки институции</w:t>
      </w:r>
      <w:bookmarkEnd w:id="169"/>
      <w:bookmarkEnd w:id="170"/>
    </w:p>
    <w:tbl>
      <w:tblPr>
        <w:tblW w:w="5000" w:type="pct"/>
        <w:tblLayout w:type="fixed"/>
        <w:tblCellMar>
          <w:top w:w="100" w:type="dxa"/>
          <w:left w:w="120" w:type="dxa"/>
          <w:bottom w:w="100" w:type="dxa"/>
          <w:right w:w="120" w:type="dxa"/>
        </w:tblCellMar>
        <w:tblLook w:val="04A0" w:firstRow="1" w:lastRow="0" w:firstColumn="1" w:lastColumn="0" w:noHBand="0" w:noVBand="1"/>
      </w:tblPr>
      <w:tblGrid>
        <w:gridCol w:w="1304"/>
        <w:gridCol w:w="3474"/>
        <w:gridCol w:w="4344"/>
      </w:tblGrid>
      <w:tr w:rsidR="00FE200F" w14:paraId="717F2953" w14:textId="77777777">
        <w:trPr>
          <w:cantSplit/>
          <w:trHeight w:val="720"/>
          <w:tblHeader/>
        </w:trPr>
        <w:tc>
          <w:tcPr>
            <w:tcW w:w="1304" w:type="dxa"/>
            <w:tcBorders>
              <w:top w:val="single" w:sz="4" w:space="0" w:color="E1E4E8"/>
              <w:bottom w:val="single" w:sz="2" w:space="0" w:color="E1E4E8"/>
              <w:right w:val="single" w:sz="2" w:space="0" w:color="F6F8FA"/>
            </w:tcBorders>
            <w:vAlign w:val="center"/>
          </w:tcPr>
          <w:p w14:paraId="70694919" w14:textId="77777777" w:rsidR="00FE200F" w:rsidRDefault="00E77CAF">
            <w:pPr>
              <w:pStyle w:val="MdTableHeader"/>
            </w:pPr>
            <w:r>
              <w:t>Кратенка</w:t>
            </w:r>
          </w:p>
        </w:tc>
        <w:tc>
          <w:tcPr>
            <w:tcW w:w="3474" w:type="dxa"/>
            <w:tcBorders>
              <w:top w:val="single" w:sz="4" w:space="0" w:color="E1E4E8"/>
              <w:left w:val="single" w:sz="2" w:space="0" w:color="F6F8FA"/>
              <w:bottom w:val="single" w:sz="2" w:space="0" w:color="E1E4E8"/>
              <w:right w:val="single" w:sz="2" w:space="0" w:color="F6F8FA"/>
            </w:tcBorders>
            <w:vAlign w:val="center"/>
          </w:tcPr>
          <w:p w14:paraId="12262A10" w14:textId="77777777" w:rsidR="00FE200F" w:rsidRDefault="00E77CAF">
            <w:pPr>
              <w:pStyle w:val="MdTableHeader"/>
            </w:pPr>
            <w:r>
              <w:t>Полно име</w:t>
            </w:r>
          </w:p>
        </w:tc>
        <w:tc>
          <w:tcPr>
            <w:tcW w:w="4344" w:type="dxa"/>
            <w:tcBorders>
              <w:top w:val="single" w:sz="4" w:space="0" w:color="E1E4E8"/>
              <w:left w:val="single" w:sz="2" w:space="0" w:color="F6F8FA"/>
              <w:bottom w:val="single" w:sz="2" w:space="0" w:color="E1E4E8"/>
            </w:tcBorders>
            <w:vAlign w:val="center"/>
          </w:tcPr>
          <w:p w14:paraId="5D286387" w14:textId="77777777" w:rsidR="00FE200F" w:rsidRDefault="00E77CAF">
            <w:pPr>
              <w:pStyle w:val="MdTableHeader"/>
            </w:pPr>
            <w:r>
              <w:t>Улога во Акцискиот план</w:t>
            </w:r>
          </w:p>
        </w:tc>
      </w:tr>
      <w:tr w:rsidR="00FE200F" w14:paraId="1F45FA1D" w14:textId="77777777">
        <w:trPr>
          <w:cantSplit/>
          <w:trHeight w:val="576"/>
        </w:trPr>
        <w:tc>
          <w:tcPr>
            <w:tcW w:w="1304" w:type="dxa"/>
            <w:tcBorders>
              <w:top w:val="single" w:sz="2" w:space="0" w:color="E1E4E8"/>
              <w:bottom w:val="single" w:sz="2" w:space="0" w:color="E1E4E8"/>
              <w:right w:val="single" w:sz="2" w:space="0" w:color="F6F8FA"/>
            </w:tcBorders>
            <w:tcMar>
              <w:top w:w="80" w:type="dxa"/>
              <w:bottom w:w="80" w:type="dxa"/>
            </w:tcMar>
            <w:vAlign w:val="center"/>
          </w:tcPr>
          <w:p w14:paraId="36615BF3" w14:textId="77777777" w:rsidR="00FE200F" w:rsidRDefault="00E77CAF">
            <w:pPr>
              <w:pStyle w:val="MdTableCell"/>
              <w:rPr>
                <w:sz w:val="22"/>
                <w:szCs w:val="22"/>
              </w:rPr>
            </w:pPr>
            <w:r>
              <w:rPr>
                <w:rStyle w:val="MdStrong"/>
                <w:b w:val="0"/>
                <w:bCs w:val="0"/>
                <w:sz w:val="22"/>
                <w:szCs w:val="22"/>
              </w:rPr>
              <w:t>ФИНКИ</w:t>
            </w:r>
          </w:p>
        </w:tc>
        <w:tc>
          <w:tcPr>
            <w:tcW w:w="3474" w:type="dxa"/>
            <w:tcBorders>
              <w:top w:val="single" w:sz="2" w:space="0" w:color="E1E4E8"/>
              <w:left w:val="single" w:sz="2" w:space="0" w:color="F6F8FA"/>
              <w:bottom w:val="single" w:sz="2" w:space="0" w:color="E1E4E8"/>
              <w:right w:val="single" w:sz="2" w:space="0" w:color="F6F8FA"/>
            </w:tcBorders>
            <w:tcMar>
              <w:top w:w="80" w:type="dxa"/>
              <w:bottom w:w="80" w:type="dxa"/>
            </w:tcMar>
            <w:vAlign w:val="center"/>
          </w:tcPr>
          <w:p w14:paraId="50114A6D" w14:textId="77777777" w:rsidR="00FE200F" w:rsidRDefault="00E77CAF">
            <w:pPr>
              <w:pStyle w:val="MdTableCell"/>
              <w:rPr>
                <w:sz w:val="22"/>
                <w:szCs w:val="22"/>
              </w:rPr>
            </w:pPr>
            <w:r>
              <w:rPr>
                <w:sz w:val="22"/>
                <w:szCs w:val="22"/>
              </w:rPr>
              <w:t>Факултет за информатички науки и компјутерско инженерство, УКИМ</w:t>
            </w:r>
          </w:p>
        </w:tc>
        <w:tc>
          <w:tcPr>
            <w:tcW w:w="4344" w:type="dxa"/>
            <w:tcBorders>
              <w:top w:val="single" w:sz="2" w:space="0" w:color="E1E4E8"/>
              <w:left w:val="single" w:sz="2" w:space="0" w:color="F6F8FA"/>
              <w:bottom w:val="single" w:sz="2" w:space="0" w:color="E1E4E8"/>
            </w:tcBorders>
            <w:tcMar>
              <w:top w:w="80" w:type="dxa"/>
              <w:bottom w:w="80" w:type="dxa"/>
            </w:tcMar>
            <w:vAlign w:val="center"/>
          </w:tcPr>
          <w:p w14:paraId="42610692" w14:textId="77777777" w:rsidR="00FE200F" w:rsidRDefault="00E77CAF">
            <w:pPr>
              <w:pStyle w:val="MdTableCell"/>
              <w:rPr>
                <w:sz w:val="22"/>
                <w:szCs w:val="22"/>
              </w:rPr>
            </w:pPr>
            <w:r>
              <w:rPr>
                <w:sz w:val="22"/>
                <w:szCs w:val="22"/>
              </w:rPr>
              <w:t xml:space="preserve">ВИ образование, истражување, јазични технологии и техничка </w:t>
            </w:r>
            <w:r>
              <w:rPr>
                <w:sz w:val="22"/>
                <w:szCs w:val="22"/>
              </w:rPr>
              <w:t>експертиза.</w:t>
            </w:r>
          </w:p>
        </w:tc>
      </w:tr>
      <w:tr w:rsidR="00FE200F" w14:paraId="623B7442" w14:textId="77777777">
        <w:trPr>
          <w:cantSplit/>
          <w:trHeight w:val="576"/>
        </w:trPr>
        <w:tc>
          <w:tcPr>
            <w:tcW w:w="1304" w:type="dxa"/>
            <w:tcBorders>
              <w:top w:val="single" w:sz="2" w:space="0" w:color="E1E4E8"/>
              <w:bottom w:val="single" w:sz="2" w:space="0" w:color="E1E4E8"/>
              <w:right w:val="single" w:sz="2" w:space="0" w:color="F6F8FA"/>
            </w:tcBorders>
            <w:tcMar>
              <w:top w:w="80" w:type="dxa"/>
              <w:bottom w:w="80" w:type="dxa"/>
            </w:tcMar>
            <w:vAlign w:val="center"/>
          </w:tcPr>
          <w:p w14:paraId="5A98F3AA" w14:textId="77777777" w:rsidR="00FE200F" w:rsidRDefault="00E77CAF">
            <w:pPr>
              <w:pStyle w:val="MdTableCell"/>
              <w:rPr>
                <w:sz w:val="22"/>
                <w:szCs w:val="22"/>
              </w:rPr>
            </w:pPr>
            <w:r>
              <w:rPr>
                <w:rStyle w:val="MdStrong"/>
                <w:b w:val="0"/>
                <w:bCs w:val="0"/>
                <w:sz w:val="22"/>
                <w:szCs w:val="22"/>
              </w:rPr>
              <w:t>ФЕИТ</w:t>
            </w:r>
          </w:p>
        </w:tc>
        <w:tc>
          <w:tcPr>
            <w:tcW w:w="3474" w:type="dxa"/>
            <w:tcBorders>
              <w:top w:val="single" w:sz="2" w:space="0" w:color="E1E4E8"/>
              <w:left w:val="single" w:sz="2" w:space="0" w:color="F6F8FA"/>
              <w:bottom w:val="single" w:sz="2" w:space="0" w:color="E1E4E8"/>
              <w:right w:val="single" w:sz="2" w:space="0" w:color="F6F8FA"/>
            </w:tcBorders>
            <w:tcMar>
              <w:top w:w="80" w:type="dxa"/>
              <w:bottom w:w="80" w:type="dxa"/>
            </w:tcMar>
            <w:vAlign w:val="center"/>
          </w:tcPr>
          <w:p w14:paraId="38C8A563" w14:textId="77777777" w:rsidR="00FE200F" w:rsidRDefault="00E77CAF">
            <w:pPr>
              <w:pStyle w:val="MdTableCell"/>
              <w:rPr>
                <w:sz w:val="22"/>
                <w:szCs w:val="22"/>
              </w:rPr>
            </w:pPr>
            <w:r>
              <w:rPr>
                <w:sz w:val="22"/>
                <w:szCs w:val="22"/>
              </w:rPr>
              <w:t>Факултет за електротехника и информациски технологии, УКИМ</w:t>
            </w:r>
          </w:p>
        </w:tc>
        <w:tc>
          <w:tcPr>
            <w:tcW w:w="4344" w:type="dxa"/>
            <w:tcBorders>
              <w:top w:val="single" w:sz="2" w:space="0" w:color="E1E4E8"/>
              <w:left w:val="single" w:sz="2" w:space="0" w:color="F6F8FA"/>
              <w:bottom w:val="single" w:sz="2" w:space="0" w:color="E1E4E8"/>
            </w:tcBorders>
            <w:tcMar>
              <w:top w:w="80" w:type="dxa"/>
              <w:bottom w:w="80" w:type="dxa"/>
            </w:tcMar>
            <w:vAlign w:val="center"/>
          </w:tcPr>
          <w:p w14:paraId="047D9EA3" w14:textId="77777777" w:rsidR="00FE200F" w:rsidRDefault="00E77CAF">
            <w:pPr>
              <w:pStyle w:val="MdTableCell"/>
              <w:rPr>
                <w:sz w:val="22"/>
                <w:szCs w:val="22"/>
              </w:rPr>
            </w:pPr>
            <w:r>
              <w:rPr>
                <w:sz w:val="22"/>
                <w:szCs w:val="22"/>
              </w:rPr>
              <w:t>ВИ, инженерство, дигитална инфраструктура и истражување.</w:t>
            </w:r>
          </w:p>
        </w:tc>
      </w:tr>
      <w:tr w:rsidR="00FE200F" w14:paraId="2E2F876E" w14:textId="77777777">
        <w:trPr>
          <w:cantSplit/>
          <w:trHeight w:val="576"/>
        </w:trPr>
        <w:tc>
          <w:tcPr>
            <w:tcW w:w="1304" w:type="dxa"/>
            <w:tcBorders>
              <w:top w:val="single" w:sz="2" w:space="0" w:color="E1E4E8"/>
              <w:bottom w:val="single" w:sz="2" w:space="0" w:color="E1E4E8"/>
              <w:right w:val="single" w:sz="2" w:space="0" w:color="F6F8FA"/>
            </w:tcBorders>
            <w:tcMar>
              <w:top w:w="80" w:type="dxa"/>
              <w:bottom w:w="80" w:type="dxa"/>
            </w:tcMar>
            <w:vAlign w:val="center"/>
          </w:tcPr>
          <w:p w14:paraId="1DE7E5CA" w14:textId="77777777" w:rsidR="00FE200F" w:rsidRDefault="00E77CAF">
            <w:pPr>
              <w:pStyle w:val="MdTableCell"/>
              <w:rPr>
                <w:sz w:val="22"/>
                <w:szCs w:val="22"/>
              </w:rPr>
            </w:pPr>
            <w:r>
              <w:rPr>
                <w:rStyle w:val="MdStrong"/>
                <w:b w:val="0"/>
                <w:bCs w:val="0"/>
                <w:sz w:val="22"/>
                <w:szCs w:val="22"/>
              </w:rPr>
              <w:t>ECCF</w:t>
            </w:r>
          </w:p>
        </w:tc>
        <w:tc>
          <w:tcPr>
            <w:tcW w:w="3474" w:type="dxa"/>
            <w:tcBorders>
              <w:top w:val="single" w:sz="2" w:space="0" w:color="E1E4E8"/>
              <w:left w:val="single" w:sz="2" w:space="0" w:color="F6F8FA"/>
              <w:bottom w:val="single" w:sz="2" w:space="0" w:color="E1E4E8"/>
              <w:right w:val="single" w:sz="2" w:space="0" w:color="F6F8FA"/>
            </w:tcBorders>
            <w:tcMar>
              <w:top w:w="80" w:type="dxa"/>
              <w:bottom w:w="80" w:type="dxa"/>
            </w:tcMar>
            <w:vAlign w:val="center"/>
          </w:tcPr>
          <w:p w14:paraId="646739BE" w14:textId="77777777" w:rsidR="00FE200F" w:rsidRDefault="00E77CAF">
            <w:pPr>
              <w:pStyle w:val="MdTableCell"/>
              <w:rPr>
                <w:sz w:val="22"/>
                <w:szCs w:val="22"/>
              </w:rPr>
            </w:pPr>
            <w:r>
              <w:rPr>
                <w:sz w:val="22"/>
                <w:szCs w:val="22"/>
              </w:rPr>
              <w:t>Економски факултет – УКИМ</w:t>
            </w:r>
          </w:p>
        </w:tc>
        <w:tc>
          <w:tcPr>
            <w:tcW w:w="4344" w:type="dxa"/>
            <w:tcBorders>
              <w:top w:val="single" w:sz="2" w:space="0" w:color="E1E4E8"/>
              <w:left w:val="single" w:sz="2" w:space="0" w:color="F6F8FA"/>
              <w:bottom w:val="single" w:sz="2" w:space="0" w:color="E1E4E8"/>
            </w:tcBorders>
            <w:tcMar>
              <w:top w:w="80" w:type="dxa"/>
              <w:bottom w:w="80" w:type="dxa"/>
            </w:tcMar>
            <w:vAlign w:val="center"/>
          </w:tcPr>
          <w:p w14:paraId="671F132D" w14:textId="77777777" w:rsidR="00FE200F" w:rsidRDefault="00E77CAF">
            <w:pPr>
              <w:pStyle w:val="MdTableCell"/>
              <w:rPr>
                <w:sz w:val="22"/>
                <w:szCs w:val="22"/>
              </w:rPr>
            </w:pPr>
            <w:r>
              <w:rPr>
                <w:sz w:val="22"/>
                <w:szCs w:val="22"/>
              </w:rPr>
              <w:t>Економско образование, деловна примена на ВИ и интердисциплинарна експертиза.</w:t>
            </w:r>
          </w:p>
        </w:tc>
      </w:tr>
      <w:tr w:rsidR="00FE200F" w14:paraId="4866DF58" w14:textId="77777777">
        <w:trPr>
          <w:cantSplit/>
          <w:trHeight w:val="576"/>
        </w:trPr>
        <w:tc>
          <w:tcPr>
            <w:tcW w:w="1304" w:type="dxa"/>
            <w:tcBorders>
              <w:top w:val="single" w:sz="2" w:space="0" w:color="E1E4E8"/>
              <w:bottom w:val="single" w:sz="2" w:space="0" w:color="E1E4E8"/>
              <w:right w:val="single" w:sz="2" w:space="0" w:color="F6F8FA"/>
            </w:tcBorders>
            <w:tcMar>
              <w:top w:w="80" w:type="dxa"/>
              <w:bottom w:w="80" w:type="dxa"/>
            </w:tcMar>
            <w:vAlign w:val="center"/>
          </w:tcPr>
          <w:p w14:paraId="706B57E2" w14:textId="77777777" w:rsidR="00FE200F" w:rsidRDefault="00E77CAF">
            <w:pPr>
              <w:pStyle w:val="MdTableCell"/>
              <w:rPr>
                <w:sz w:val="22"/>
                <w:szCs w:val="22"/>
              </w:rPr>
            </w:pPr>
            <w:r>
              <w:rPr>
                <w:rStyle w:val="MdStrong"/>
                <w:b w:val="0"/>
                <w:bCs w:val="0"/>
                <w:sz w:val="22"/>
                <w:szCs w:val="22"/>
              </w:rPr>
              <w:t>УКЛО</w:t>
            </w:r>
          </w:p>
        </w:tc>
        <w:tc>
          <w:tcPr>
            <w:tcW w:w="3474" w:type="dxa"/>
            <w:tcBorders>
              <w:top w:val="single" w:sz="2" w:space="0" w:color="E1E4E8"/>
              <w:left w:val="single" w:sz="2" w:space="0" w:color="F6F8FA"/>
              <w:bottom w:val="single" w:sz="2" w:space="0" w:color="E1E4E8"/>
              <w:right w:val="single" w:sz="2" w:space="0" w:color="F6F8FA"/>
            </w:tcBorders>
            <w:tcMar>
              <w:top w:w="80" w:type="dxa"/>
              <w:bottom w:w="80" w:type="dxa"/>
            </w:tcMar>
            <w:vAlign w:val="center"/>
          </w:tcPr>
          <w:p w14:paraId="61175988" w14:textId="77777777" w:rsidR="00FE200F" w:rsidRDefault="00E77CAF">
            <w:pPr>
              <w:pStyle w:val="MdTableCell"/>
              <w:rPr>
                <w:sz w:val="22"/>
                <w:szCs w:val="22"/>
              </w:rPr>
            </w:pPr>
            <w:r>
              <w:rPr>
                <w:sz w:val="22"/>
                <w:szCs w:val="22"/>
              </w:rPr>
              <w:t>Универзитет „Св. Климент Охридски“ – Битола</w:t>
            </w:r>
          </w:p>
        </w:tc>
        <w:tc>
          <w:tcPr>
            <w:tcW w:w="4344" w:type="dxa"/>
            <w:tcBorders>
              <w:top w:val="single" w:sz="2" w:space="0" w:color="E1E4E8"/>
              <w:left w:val="single" w:sz="2" w:space="0" w:color="F6F8FA"/>
              <w:bottom w:val="single" w:sz="2" w:space="0" w:color="E1E4E8"/>
            </w:tcBorders>
            <w:tcMar>
              <w:top w:w="80" w:type="dxa"/>
              <w:bottom w:w="80" w:type="dxa"/>
            </w:tcMar>
            <w:vAlign w:val="center"/>
          </w:tcPr>
          <w:p w14:paraId="57D2ADEA" w14:textId="77777777" w:rsidR="00FE200F" w:rsidRDefault="00E77CAF">
            <w:pPr>
              <w:pStyle w:val="MdTableCell"/>
              <w:rPr>
                <w:sz w:val="22"/>
                <w:szCs w:val="22"/>
              </w:rPr>
            </w:pPr>
            <w:r>
              <w:rPr>
                <w:sz w:val="22"/>
                <w:szCs w:val="22"/>
              </w:rPr>
              <w:t>Високо образование, регионална соработка и истражување.</w:t>
            </w:r>
          </w:p>
        </w:tc>
      </w:tr>
      <w:tr w:rsidR="00FE200F" w14:paraId="553B425A" w14:textId="77777777">
        <w:trPr>
          <w:cantSplit/>
          <w:trHeight w:val="576"/>
        </w:trPr>
        <w:tc>
          <w:tcPr>
            <w:tcW w:w="1304" w:type="dxa"/>
            <w:tcBorders>
              <w:top w:val="single" w:sz="2" w:space="0" w:color="E1E4E8"/>
              <w:bottom w:val="single" w:sz="2" w:space="0" w:color="E1E4E8"/>
              <w:right w:val="single" w:sz="2" w:space="0" w:color="F6F8FA"/>
            </w:tcBorders>
            <w:tcMar>
              <w:top w:w="80" w:type="dxa"/>
              <w:bottom w:w="80" w:type="dxa"/>
            </w:tcMar>
            <w:vAlign w:val="center"/>
          </w:tcPr>
          <w:p w14:paraId="2D931E0B" w14:textId="77777777" w:rsidR="00FE200F" w:rsidRDefault="00E77CAF">
            <w:pPr>
              <w:pStyle w:val="MdTableCell"/>
              <w:rPr>
                <w:sz w:val="22"/>
                <w:szCs w:val="22"/>
              </w:rPr>
            </w:pPr>
            <w:r>
              <w:rPr>
                <w:rStyle w:val="MdStrong"/>
                <w:b w:val="0"/>
                <w:bCs w:val="0"/>
                <w:sz w:val="22"/>
                <w:szCs w:val="22"/>
              </w:rPr>
              <w:t>УГД</w:t>
            </w:r>
          </w:p>
        </w:tc>
        <w:tc>
          <w:tcPr>
            <w:tcW w:w="3474" w:type="dxa"/>
            <w:tcBorders>
              <w:top w:val="single" w:sz="2" w:space="0" w:color="E1E4E8"/>
              <w:left w:val="single" w:sz="2" w:space="0" w:color="F6F8FA"/>
              <w:bottom w:val="single" w:sz="2" w:space="0" w:color="E1E4E8"/>
              <w:right w:val="single" w:sz="2" w:space="0" w:color="F6F8FA"/>
            </w:tcBorders>
            <w:tcMar>
              <w:top w:w="80" w:type="dxa"/>
              <w:bottom w:w="80" w:type="dxa"/>
            </w:tcMar>
            <w:vAlign w:val="center"/>
          </w:tcPr>
          <w:p w14:paraId="7FF4551F" w14:textId="77777777" w:rsidR="00FE200F" w:rsidRDefault="00E77CAF">
            <w:pPr>
              <w:pStyle w:val="MdTableCell"/>
              <w:rPr>
                <w:sz w:val="22"/>
                <w:szCs w:val="22"/>
              </w:rPr>
            </w:pPr>
            <w:r>
              <w:rPr>
                <w:sz w:val="22"/>
                <w:szCs w:val="22"/>
              </w:rPr>
              <w:t>Универзитет „Гоце Делчев“ – Штип</w:t>
            </w:r>
          </w:p>
        </w:tc>
        <w:tc>
          <w:tcPr>
            <w:tcW w:w="4344" w:type="dxa"/>
            <w:tcBorders>
              <w:top w:val="single" w:sz="2" w:space="0" w:color="E1E4E8"/>
              <w:left w:val="single" w:sz="2" w:space="0" w:color="F6F8FA"/>
              <w:bottom w:val="single" w:sz="2" w:space="0" w:color="E1E4E8"/>
            </w:tcBorders>
            <w:tcMar>
              <w:top w:w="80" w:type="dxa"/>
              <w:bottom w:w="80" w:type="dxa"/>
            </w:tcMar>
            <w:vAlign w:val="center"/>
          </w:tcPr>
          <w:p w14:paraId="5B729141" w14:textId="77777777" w:rsidR="00FE200F" w:rsidRDefault="00E77CAF">
            <w:pPr>
              <w:pStyle w:val="MdTableCell"/>
              <w:rPr>
                <w:sz w:val="22"/>
                <w:szCs w:val="22"/>
              </w:rPr>
            </w:pPr>
            <w:r>
              <w:rPr>
                <w:sz w:val="22"/>
                <w:szCs w:val="22"/>
              </w:rPr>
              <w:t>Високо образование, истражување и развој на ВИ компетенции.</w:t>
            </w:r>
          </w:p>
        </w:tc>
      </w:tr>
      <w:tr w:rsidR="00FE200F" w14:paraId="7D2A4F11" w14:textId="77777777">
        <w:trPr>
          <w:cantSplit/>
          <w:trHeight w:val="576"/>
        </w:trPr>
        <w:tc>
          <w:tcPr>
            <w:tcW w:w="1304" w:type="dxa"/>
            <w:tcBorders>
              <w:top w:val="single" w:sz="2" w:space="0" w:color="E1E4E8"/>
              <w:bottom w:val="single" w:sz="2" w:space="0" w:color="E1E4E8"/>
              <w:right w:val="single" w:sz="2" w:space="0" w:color="F6F8FA"/>
            </w:tcBorders>
            <w:tcMar>
              <w:top w:w="80" w:type="dxa"/>
              <w:bottom w:w="80" w:type="dxa"/>
            </w:tcMar>
            <w:vAlign w:val="center"/>
          </w:tcPr>
          <w:p w14:paraId="5D6D6B6F" w14:textId="77777777" w:rsidR="00FE200F" w:rsidRDefault="00E77CAF">
            <w:pPr>
              <w:pStyle w:val="MdTableCell"/>
              <w:rPr>
                <w:sz w:val="22"/>
                <w:szCs w:val="22"/>
              </w:rPr>
            </w:pPr>
            <w:r>
              <w:rPr>
                <w:rStyle w:val="MdStrong"/>
                <w:b w:val="0"/>
                <w:bCs w:val="0"/>
                <w:sz w:val="22"/>
                <w:szCs w:val="22"/>
              </w:rPr>
              <w:t>ЦОВ</w:t>
            </w:r>
          </w:p>
        </w:tc>
        <w:tc>
          <w:tcPr>
            <w:tcW w:w="3474" w:type="dxa"/>
            <w:tcBorders>
              <w:top w:val="single" w:sz="2" w:space="0" w:color="E1E4E8"/>
              <w:left w:val="single" w:sz="2" w:space="0" w:color="F6F8FA"/>
              <w:bottom w:val="single" w:sz="2" w:space="0" w:color="E1E4E8"/>
              <w:right w:val="single" w:sz="2" w:space="0" w:color="F6F8FA"/>
            </w:tcBorders>
            <w:tcMar>
              <w:top w:w="80" w:type="dxa"/>
              <w:bottom w:w="80" w:type="dxa"/>
            </w:tcMar>
            <w:vAlign w:val="center"/>
          </w:tcPr>
          <w:p w14:paraId="49BF5B03" w14:textId="77777777" w:rsidR="00FE200F" w:rsidRDefault="00E77CAF">
            <w:pPr>
              <w:pStyle w:val="MdTableCell"/>
              <w:rPr>
                <w:sz w:val="22"/>
                <w:szCs w:val="22"/>
              </w:rPr>
            </w:pPr>
            <w:r>
              <w:rPr>
                <w:sz w:val="22"/>
                <w:szCs w:val="22"/>
              </w:rPr>
              <w:t>Центар за образование на возрасни</w:t>
            </w:r>
          </w:p>
        </w:tc>
        <w:tc>
          <w:tcPr>
            <w:tcW w:w="4344" w:type="dxa"/>
            <w:tcBorders>
              <w:top w:val="single" w:sz="2" w:space="0" w:color="E1E4E8"/>
              <w:left w:val="single" w:sz="2" w:space="0" w:color="F6F8FA"/>
              <w:bottom w:val="single" w:sz="2" w:space="0" w:color="E1E4E8"/>
            </w:tcBorders>
            <w:tcMar>
              <w:top w:w="80" w:type="dxa"/>
              <w:bottom w:w="80" w:type="dxa"/>
            </w:tcMar>
            <w:vAlign w:val="center"/>
          </w:tcPr>
          <w:p w14:paraId="4D136C30" w14:textId="77777777" w:rsidR="00FE200F" w:rsidRDefault="00E77CAF">
            <w:pPr>
              <w:pStyle w:val="MdTableCell"/>
              <w:rPr>
                <w:sz w:val="22"/>
                <w:szCs w:val="22"/>
              </w:rPr>
            </w:pPr>
            <w:r>
              <w:rPr>
                <w:sz w:val="22"/>
                <w:szCs w:val="22"/>
              </w:rPr>
              <w:t xml:space="preserve">Доживотно учење, </w:t>
            </w:r>
            <w:r>
              <w:rPr>
                <w:sz w:val="22"/>
                <w:szCs w:val="22"/>
              </w:rPr>
              <w:t>преквалификација и програми за вештини.</w:t>
            </w:r>
          </w:p>
        </w:tc>
      </w:tr>
      <w:tr w:rsidR="00FE200F" w14:paraId="383D8F0A" w14:textId="77777777">
        <w:trPr>
          <w:cantSplit/>
          <w:trHeight w:val="576"/>
        </w:trPr>
        <w:tc>
          <w:tcPr>
            <w:tcW w:w="1304" w:type="dxa"/>
            <w:tcBorders>
              <w:top w:val="single" w:sz="2" w:space="0" w:color="E1E4E8"/>
              <w:bottom w:val="single" w:sz="4" w:space="0" w:color="E1E4E8"/>
              <w:right w:val="single" w:sz="2" w:space="0" w:color="F6F8FA"/>
            </w:tcBorders>
            <w:tcMar>
              <w:top w:w="80" w:type="dxa"/>
              <w:bottom w:w="80" w:type="dxa"/>
            </w:tcMar>
            <w:vAlign w:val="center"/>
          </w:tcPr>
          <w:p w14:paraId="5B283303" w14:textId="77777777" w:rsidR="00FE200F" w:rsidRDefault="00E77CAF">
            <w:pPr>
              <w:pStyle w:val="MdTableCell"/>
              <w:rPr>
                <w:rStyle w:val="MdStrong"/>
                <w:b w:val="0"/>
                <w:bCs w:val="0"/>
                <w:sz w:val="22"/>
                <w:szCs w:val="22"/>
                <w:lang w:val="mk-MK"/>
              </w:rPr>
            </w:pPr>
            <w:r>
              <w:rPr>
                <w:rStyle w:val="MdStrong"/>
                <w:b w:val="0"/>
                <w:bCs w:val="0"/>
                <w:sz w:val="22"/>
                <w:szCs w:val="22"/>
                <w:lang w:val="mk-MK"/>
              </w:rPr>
              <w:t>БРЕИНСТЕР</w:t>
            </w:r>
          </w:p>
        </w:tc>
        <w:tc>
          <w:tcPr>
            <w:tcW w:w="3474" w:type="dxa"/>
            <w:tcBorders>
              <w:top w:val="single" w:sz="2" w:space="0" w:color="E1E4E8"/>
              <w:left w:val="single" w:sz="2" w:space="0" w:color="F6F8FA"/>
              <w:bottom w:val="single" w:sz="4" w:space="0" w:color="E1E4E8"/>
              <w:right w:val="single" w:sz="2" w:space="0" w:color="F6F8FA"/>
            </w:tcBorders>
            <w:tcMar>
              <w:top w:w="80" w:type="dxa"/>
              <w:bottom w:w="80" w:type="dxa"/>
            </w:tcMar>
            <w:vAlign w:val="center"/>
          </w:tcPr>
          <w:p w14:paraId="3039F340" w14:textId="77777777" w:rsidR="00FE200F" w:rsidRDefault="00E77CAF">
            <w:pPr>
              <w:pStyle w:val="MdTableCell"/>
              <w:rPr>
                <w:sz w:val="22"/>
                <w:szCs w:val="22"/>
                <w:lang w:val="mk-MK"/>
              </w:rPr>
            </w:pPr>
            <w:r>
              <w:rPr>
                <w:sz w:val="22"/>
                <w:szCs w:val="22"/>
                <w:lang w:val="mk-MK"/>
              </w:rPr>
              <w:t>Brainster (Бреинстер)</w:t>
            </w:r>
          </w:p>
        </w:tc>
        <w:tc>
          <w:tcPr>
            <w:tcW w:w="4344" w:type="dxa"/>
            <w:tcBorders>
              <w:top w:val="single" w:sz="2" w:space="0" w:color="E1E4E8"/>
              <w:left w:val="single" w:sz="2" w:space="0" w:color="F6F8FA"/>
              <w:bottom w:val="single" w:sz="4" w:space="0" w:color="E1E4E8"/>
            </w:tcBorders>
            <w:tcMar>
              <w:top w:w="80" w:type="dxa"/>
              <w:bottom w:w="80" w:type="dxa"/>
            </w:tcMar>
            <w:vAlign w:val="center"/>
          </w:tcPr>
          <w:p w14:paraId="3A35AD13" w14:textId="77777777" w:rsidR="00FE200F" w:rsidRDefault="00E77CAF">
            <w:pPr>
              <w:pStyle w:val="MdTableCell"/>
              <w:rPr>
                <w:sz w:val="22"/>
                <w:szCs w:val="22"/>
              </w:rPr>
            </w:pPr>
            <w:r>
              <w:rPr>
                <w:sz w:val="22"/>
                <w:szCs w:val="22"/>
              </w:rPr>
              <w:t>ВИ образование, кратки курсеви и развој на практични ВИ компетенции.</w:t>
            </w:r>
          </w:p>
        </w:tc>
      </w:tr>
    </w:tbl>
    <w:p w14:paraId="2CA54402" w14:textId="77777777" w:rsidR="00FE200F" w:rsidRDefault="00E77CAF">
      <w:pPr>
        <w:pStyle w:val="MdHeading2"/>
        <w:rPr>
          <w:sz w:val="24"/>
          <w:szCs w:val="24"/>
        </w:rPr>
      </w:pPr>
      <w:bookmarkStart w:id="171" w:name="_Toc240630111"/>
      <w:bookmarkStart w:id="172" w:name="_Toc243908054"/>
      <w:r>
        <w:rPr>
          <w:sz w:val="24"/>
          <w:szCs w:val="24"/>
        </w:rPr>
        <w:t>Сајбер-безбедност, програми и технички кратенки</w:t>
      </w:r>
      <w:bookmarkEnd w:id="171"/>
      <w:bookmarkEnd w:id="172"/>
    </w:p>
    <w:tbl>
      <w:tblPr>
        <w:tblW w:w="5000" w:type="pct"/>
        <w:tblLayout w:type="fixed"/>
        <w:tblCellMar>
          <w:top w:w="100" w:type="dxa"/>
          <w:left w:w="120" w:type="dxa"/>
          <w:bottom w:w="100" w:type="dxa"/>
          <w:right w:w="120" w:type="dxa"/>
        </w:tblCellMar>
        <w:tblLook w:val="04A0" w:firstRow="1" w:lastRow="0" w:firstColumn="1" w:lastColumn="0" w:noHBand="0" w:noVBand="1"/>
      </w:tblPr>
      <w:tblGrid>
        <w:gridCol w:w="1266"/>
        <w:gridCol w:w="2877"/>
        <w:gridCol w:w="4979"/>
      </w:tblGrid>
      <w:tr w:rsidR="00FE200F" w14:paraId="4BAD5BC9" w14:textId="77777777">
        <w:trPr>
          <w:cantSplit/>
          <w:trHeight w:val="720"/>
          <w:tblHeader/>
        </w:trPr>
        <w:tc>
          <w:tcPr>
            <w:tcW w:w="1266" w:type="dxa"/>
            <w:tcBorders>
              <w:top w:val="single" w:sz="4" w:space="0" w:color="E1E4E8"/>
              <w:bottom w:val="single" w:sz="2" w:space="0" w:color="E1E4E8"/>
              <w:right w:val="single" w:sz="2" w:space="0" w:color="F6F8FA"/>
            </w:tcBorders>
            <w:vAlign w:val="center"/>
          </w:tcPr>
          <w:p w14:paraId="5B2EBE3E" w14:textId="77777777" w:rsidR="00FE200F" w:rsidRDefault="00E77CAF">
            <w:pPr>
              <w:pStyle w:val="MdTableHeader"/>
            </w:pPr>
            <w:r>
              <w:t>Кратенка</w:t>
            </w:r>
          </w:p>
        </w:tc>
        <w:tc>
          <w:tcPr>
            <w:tcW w:w="2877" w:type="dxa"/>
            <w:tcBorders>
              <w:top w:val="single" w:sz="4" w:space="0" w:color="E1E4E8"/>
              <w:left w:val="single" w:sz="2" w:space="0" w:color="F6F8FA"/>
              <w:bottom w:val="single" w:sz="2" w:space="0" w:color="E1E4E8"/>
              <w:right w:val="single" w:sz="2" w:space="0" w:color="F6F8FA"/>
            </w:tcBorders>
            <w:vAlign w:val="center"/>
          </w:tcPr>
          <w:p w14:paraId="2B452F3C" w14:textId="77777777" w:rsidR="00FE200F" w:rsidRDefault="00E77CAF">
            <w:pPr>
              <w:pStyle w:val="MdTableHeader"/>
            </w:pPr>
            <w:r>
              <w:t>Полно име / значење</w:t>
            </w:r>
          </w:p>
        </w:tc>
        <w:tc>
          <w:tcPr>
            <w:tcW w:w="4979" w:type="dxa"/>
            <w:tcBorders>
              <w:top w:val="single" w:sz="4" w:space="0" w:color="E1E4E8"/>
              <w:left w:val="single" w:sz="2" w:space="0" w:color="F6F8FA"/>
              <w:bottom w:val="single" w:sz="2" w:space="0" w:color="E1E4E8"/>
            </w:tcBorders>
            <w:vAlign w:val="center"/>
          </w:tcPr>
          <w:p w14:paraId="1831DB0E" w14:textId="77777777" w:rsidR="00FE200F" w:rsidRDefault="00E77CAF">
            <w:pPr>
              <w:pStyle w:val="MdTableHeader"/>
            </w:pPr>
            <w:r>
              <w:t>Улога во Стратегијата</w:t>
            </w:r>
          </w:p>
        </w:tc>
      </w:tr>
      <w:tr w:rsidR="00FE200F" w14:paraId="7695855D" w14:textId="77777777">
        <w:trPr>
          <w:cantSplit/>
          <w:trHeight w:val="576"/>
        </w:trPr>
        <w:tc>
          <w:tcPr>
            <w:tcW w:w="1266" w:type="dxa"/>
            <w:tcBorders>
              <w:top w:val="single" w:sz="2" w:space="0" w:color="E1E4E8"/>
              <w:bottom w:val="single" w:sz="2" w:space="0" w:color="E1E4E8"/>
              <w:right w:val="single" w:sz="2" w:space="0" w:color="F6F8FA"/>
            </w:tcBorders>
            <w:tcMar>
              <w:top w:w="80" w:type="dxa"/>
              <w:bottom w:w="80" w:type="dxa"/>
            </w:tcMar>
            <w:vAlign w:val="center"/>
          </w:tcPr>
          <w:p w14:paraId="54A71498" w14:textId="77777777" w:rsidR="00FE200F" w:rsidRDefault="00E77CAF">
            <w:pPr>
              <w:pStyle w:val="MdTableCell"/>
              <w:rPr>
                <w:sz w:val="22"/>
                <w:szCs w:val="22"/>
              </w:rPr>
            </w:pPr>
            <w:r>
              <w:rPr>
                <w:rStyle w:val="MdStrong"/>
                <w:b w:val="0"/>
                <w:bCs w:val="0"/>
                <w:sz w:val="22"/>
                <w:szCs w:val="22"/>
              </w:rPr>
              <w:t>MKD-CIRT</w:t>
            </w:r>
          </w:p>
        </w:tc>
        <w:tc>
          <w:tcPr>
            <w:tcW w:w="2877" w:type="dxa"/>
            <w:tcBorders>
              <w:top w:val="single" w:sz="2" w:space="0" w:color="E1E4E8"/>
              <w:left w:val="single" w:sz="2" w:space="0" w:color="F6F8FA"/>
              <w:bottom w:val="single" w:sz="2" w:space="0" w:color="E1E4E8"/>
              <w:right w:val="single" w:sz="2" w:space="0" w:color="F6F8FA"/>
            </w:tcBorders>
            <w:tcMar>
              <w:top w:w="80" w:type="dxa"/>
              <w:bottom w:w="80" w:type="dxa"/>
            </w:tcMar>
            <w:vAlign w:val="center"/>
          </w:tcPr>
          <w:p w14:paraId="28CDFE9C" w14:textId="77777777" w:rsidR="00FE200F" w:rsidRDefault="00E77CAF">
            <w:pPr>
              <w:pStyle w:val="MdTableCell"/>
              <w:rPr>
                <w:sz w:val="22"/>
                <w:szCs w:val="22"/>
              </w:rPr>
            </w:pPr>
            <w:r>
              <w:rPr>
                <w:sz w:val="22"/>
                <w:szCs w:val="22"/>
              </w:rPr>
              <w:t>Национален тим за одговор на компјутерски инциденти</w:t>
            </w:r>
          </w:p>
        </w:tc>
        <w:tc>
          <w:tcPr>
            <w:tcW w:w="4979" w:type="dxa"/>
            <w:tcBorders>
              <w:top w:val="single" w:sz="2" w:space="0" w:color="E1E4E8"/>
              <w:left w:val="single" w:sz="2" w:space="0" w:color="F6F8FA"/>
              <w:bottom w:val="single" w:sz="2" w:space="0" w:color="E1E4E8"/>
            </w:tcBorders>
            <w:tcMar>
              <w:top w:w="80" w:type="dxa"/>
              <w:bottom w:w="80" w:type="dxa"/>
            </w:tcMar>
            <w:vAlign w:val="center"/>
          </w:tcPr>
          <w:p w14:paraId="01AD7606" w14:textId="77777777" w:rsidR="00FE200F" w:rsidRDefault="00E77CAF">
            <w:pPr>
              <w:pStyle w:val="MdTableCell"/>
              <w:rPr>
                <w:sz w:val="22"/>
                <w:szCs w:val="22"/>
              </w:rPr>
            </w:pPr>
            <w:r>
              <w:rPr>
                <w:sz w:val="22"/>
                <w:szCs w:val="22"/>
              </w:rPr>
              <w:t>Национален координациски субјект за сајбер-инциденти.</w:t>
            </w:r>
          </w:p>
        </w:tc>
      </w:tr>
      <w:tr w:rsidR="00FE200F" w14:paraId="17EA87D1" w14:textId="77777777">
        <w:trPr>
          <w:cantSplit/>
          <w:trHeight w:val="576"/>
        </w:trPr>
        <w:tc>
          <w:tcPr>
            <w:tcW w:w="1266" w:type="dxa"/>
            <w:tcBorders>
              <w:top w:val="single" w:sz="2" w:space="0" w:color="E1E4E8"/>
              <w:bottom w:val="single" w:sz="2" w:space="0" w:color="E1E4E8"/>
              <w:right w:val="single" w:sz="2" w:space="0" w:color="F6F8FA"/>
            </w:tcBorders>
            <w:tcMar>
              <w:top w:w="80" w:type="dxa"/>
              <w:bottom w:w="80" w:type="dxa"/>
            </w:tcMar>
            <w:vAlign w:val="center"/>
          </w:tcPr>
          <w:p w14:paraId="612A4209" w14:textId="77777777" w:rsidR="00FE200F" w:rsidRDefault="00E77CAF">
            <w:pPr>
              <w:pStyle w:val="MdTableCell"/>
              <w:rPr>
                <w:sz w:val="22"/>
                <w:szCs w:val="22"/>
              </w:rPr>
            </w:pPr>
            <w:r>
              <w:rPr>
                <w:rStyle w:val="MdStrong"/>
                <w:b w:val="0"/>
                <w:bCs w:val="0"/>
                <w:sz w:val="22"/>
                <w:szCs w:val="22"/>
              </w:rPr>
              <w:t>CSIRT</w:t>
            </w:r>
          </w:p>
        </w:tc>
        <w:tc>
          <w:tcPr>
            <w:tcW w:w="2877" w:type="dxa"/>
            <w:tcBorders>
              <w:top w:val="single" w:sz="2" w:space="0" w:color="E1E4E8"/>
              <w:left w:val="single" w:sz="2" w:space="0" w:color="F6F8FA"/>
              <w:bottom w:val="single" w:sz="2" w:space="0" w:color="E1E4E8"/>
              <w:right w:val="single" w:sz="2" w:space="0" w:color="F6F8FA"/>
            </w:tcBorders>
            <w:tcMar>
              <w:top w:w="80" w:type="dxa"/>
              <w:bottom w:w="80" w:type="dxa"/>
            </w:tcMar>
            <w:vAlign w:val="center"/>
          </w:tcPr>
          <w:p w14:paraId="2D3450C7" w14:textId="77777777" w:rsidR="00FE200F" w:rsidRDefault="00E77CAF">
            <w:pPr>
              <w:pStyle w:val="MdTableCell"/>
              <w:rPr>
                <w:sz w:val="22"/>
                <w:szCs w:val="22"/>
              </w:rPr>
            </w:pPr>
            <w:r>
              <w:rPr>
                <w:sz w:val="22"/>
                <w:szCs w:val="22"/>
              </w:rPr>
              <w:t>Computer Security Incident Response Team</w:t>
            </w:r>
          </w:p>
        </w:tc>
        <w:tc>
          <w:tcPr>
            <w:tcW w:w="4979" w:type="dxa"/>
            <w:tcBorders>
              <w:top w:val="single" w:sz="2" w:space="0" w:color="E1E4E8"/>
              <w:left w:val="single" w:sz="2" w:space="0" w:color="F6F8FA"/>
              <w:bottom w:val="single" w:sz="2" w:space="0" w:color="E1E4E8"/>
            </w:tcBorders>
            <w:tcMar>
              <w:top w:w="80" w:type="dxa"/>
              <w:bottom w:w="80" w:type="dxa"/>
            </w:tcMar>
            <w:vAlign w:val="center"/>
          </w:tcPr>
          <w:p w14:paraId="4B0B9F49" w14:textId="77777777" w:rsidR="00FE200F" w:rsidRDefault="00E77CAF">
            <w:pPr>
              <w:pStyle w:val="MdTableCell"/>
              <w:rPr>
                <w:sz w:val="22"/>
                <w:szCs w:val="22"/>
              </w:rPr>
            </w:pPr>
            <w:r>
              <w:rPr>
                <w:sz w:val="22"/>
                <w:szCs w:val="22"/>
              </w:rPr>
              <w:t>Генерички назив за тим за одговор на компјутерски безбедносни инциденти.</w:t>
            </w:r>
          </w:p>
        </w:tc>
      </w:tr>
      <w:tr w:rsidR="00FE200F" w14:paraId="14B37981" w14:textId="77777777">
        <w:trPr>
          <w:cantSplit/>
          <w:trHeight w:val="576"/>
        </w:trPr>
        <w:tc>
          <w:tcPr>
            <w:tcW w:w="1266" w:type="dxa"/>
            <w:tcBorders>
              <w:top w:val="single" w:sz="2" w:space="0" w:color="E1E4E8"/>
              <w:bottom w:val="single" w:sz="2" w:space="0" w:color="E1E4E8"/>
              <w:right w:val="single" w:sz="2" w:space="0" w:color="F6F8FA"/>
            </w:tcBorders>
            <w:tcMar>
              <w:top w:w="80" w:type="dxa"/>
              <w:bottom w:w="80" w:type="dxa"/>
            </w:tcMar>
            <w:vAlign w:val="center"/>
          </w:tcPr>
          <w:p w14:paraId="1B691DAB" w14:textId="77777777" w:rsidR="00FE200F" w:rsidRDefault="00E77CAF">
            <w:pPr>
              <w:pStyle w:val="MdTableCell"/>
              <w:rPr>
                <w:sz w:val="22"/>
                <w:szCs w:val="22"/>
              </w:rPr>
            </w:pPr>
            <w:r>
              <w:rPr>
                <w:rStyle w:val="MdStrong"/>
                <w:b w:val="0"/>
                <w:bCs w:val="0"/>
                <w:sz w:val="22"/>
                <w:szCs w:val="22"/>
              </w:rPr>
              <w:lastRenderedPageBreak/>
              <w:t>HPC</w:t>
            </w:r>
          </w:p>
        </w:tc>
        <w:tc>
          <w:tcPr>
            <w:tcW w:w="2877" w:type="dxa"/>
            <w:tcBorders>
              <w:top w:val="single" w:sz="2" w:space="0" w:color="E1E4E8"/>
              <w:left w:val="single" w:sz="2" w:space="0" w:color="F6F8FA"/>
              <w:bottom w:val="single" w:sz="2" w:space="0" w:color="E1E4E8"/>
              <w:right w:val="single" w:sz="2" w:space="0" w:color="F6F8FA"/>
            </w:tcBorders>
            <w:tcMar>
              <w:top w:w="80" w:type="dxa"/>
              <w:bottom w:w="80" w:type="dxa"/>
            </w:tcMar>
            <w:vAlign w:val="center"/>
          </w:tcPr>
          <w:p w14:paraId="2AA3DA33" w14:textId="77777777" w:rsidR="00FE200F" w:rsidRDefault="00E77CAF">
            <w:pPr>
              <w:pStyle w:val="MdTableCell"/>
              <w:rPr>
                <w:sz w:val="22"/>
                <w:szCs w:val="22"/>
              </w:rPr>
            </w:pPr>
            <w:r>
              <w:rPr>
                <w:sz w:val="22"/>
                <w:szCs w:val="22"/>
              </w:rPr>
              <w:t xml:space="preserve">High-Performance </w:t>
            </w:r>
            <w:r>
              <w:rPr>
                <w:sz w:val="22"/>
                <w:szCs w:val="22"/>
              </w:rPr>
              <w:t>Computing</w:t>
            </w:r>
          </w:p>
        </w:tc>
        <w:tc>
          <w:tcPr>
            <w:tcW w:w="4979" w:type="dxa"/>
            <w:tcBorders>
              <w:top w:val="single" w:sz="2" w:space="0" w:color="E1E4E8"/>
              <w:left w:val="single" w:sz="2" w:space="0" w:color="F6F8FA"/>
              <w:bottom w:val="single" w:sz="2" w:space="0" w:color="E1E4E8"/>
            </w:tcBorders>
            <w:tcMar>
              <w:top w:w="80" w:type="dxa"/>
              <w:bottom w:w="80" w:type="dxa"/>
            </w:tcMar>
            <w:vAlign w:val="center"/>
          </w:tcPr>
          <w:p w14:paraId="6AF6AF64" w14:textId="77777777" w:rsidR="00FE200F" w:rsidRDefault="00E77CAF">
            <w:pPr>
              <w:pStyle w:val="MdTableCell"/>
              <w:rPr>
                <w:sz w:val="22"/>
                <w:szCs w:val="22"/>
              </w:rPr>
            </w:pPr>
            <w:r>
              <w:rPr>
                <w:sz w:val="22"/>
                <w:szCs w:val="22"/>
              </w:rPr>
              <w:t>Високоперформансно пресметување; се однесува на инфраструктурата „Везилка“ и сродните капацитети.</w:t>
            </w:r>
          </w:p>
        </w:tc>
      </w:tr>
      <w:tr w:rsidR="00FE200F" w14:paraId="21412E73" w14:textId="77777777">
        <w:trPr>
          <w:cantSplit/>
          <w:trHeight w:val="576"/>
        </w:trPr>
        <w:tc>
          <w:tcPr>
            <w:tcW w:w="1266" w:type="dxa"/>
            <w:tcBorders>
              <w:top w:val="single" w:sz="2" w:space="0" w:color="E1E4E8"/>
              <w:bottom w:val="single" w:sz="2" w:space="0" w:color="E1E4E8"/>
              <w:right w:val="single" w:sz="2" w:space="0" w:color="F6F8FA"/>
            </w:tcBorders>
            <w:tcMar>
              <w:top w:w="80" w:type="dxa"/>
              <w:bottom w:w="80" w:type="dxa"/>
            </w:tcMar>
            <w:vAlign w:val="center"/>
          </w:tcPr>
          <w:p w14:paraId="44490C2D" w14:textId="77777777" w:rsidR="00FE200F" w:rsidRDefault="00E77CAF">
            <w:pPr>
              <w:pStyle w:val="MdTableCell"/>
              <w:rPr>
                <w:sz w:val="22"/>
                <w:szCs w:val="22"/>
              </w:rPr>
            </w:pPr>
            <w:r>
              <w:rPr>
                <w:rStyle w:val="MdStrong"/>
                <w:b w:val="0"/>
                <w:bCs w:val="0"/>
                <w:sz w:val="22"/>
                <w:szCs w:val="22"/>
              </w:rPr>
              <w:t>EU AI Act</w:t>
            </w:r>
          </w:p>
        </w:tc>
        <w:tc>
          <w:tcPr>
            <w:tcW w:w="2877" w:type="dxa"/>
            <w:tcBorders>
              <w:top w:val="single" w:sz="2" w:space="0" w:color="E1E4E8"/>
              <w:left w:val="single" w:sz="2" w:space="0" w:color="F6F8FA"/>
              <w:bottom w:val="single" w:sz="2" w:space="0" w:color="E1E4E8"/>
              <w:right w:val="single" w:sz="2" w:space="0" w:color="F6F8FA"/>
            </w:tcBorders>
            <w:tcMar>
              <w:top w:w="80" w:type="dxa"/>
              <w:bottom w:w="80" w:type="dxa"/>
            </w:tcMar>
            <w:vAlign w:val="center"/>
          </w:tcPr>
          <w:p w14:paraId="4164EAAC" w14:textId="77777777" w:rsidR="00FE200F" w:rsidRDefault="00E77CAF">
            <w:pPr>
              <w:pStyle w:val="MdTableCell"/>
              <w:rPr>
                <w:sz w:val="22"/>
                <w:szCs w:val="22"/>
              </w:rPr>
            </w:pPr>
            <w:r>
              <w:rPr>
                <w:sz w:val="22"/>
                <w:szCs w:val="22"/>
              </w:rPr>
              <w:t>Акт на Европската Унија за вештачка интелигенција</w:t>
            </w:r>
          </w:p>
        </w:tc>
        <w:tc>
          <w:tcPr>
            <w:tcW w:w="4979" w:type="dxa"/>
            <w:tcBorders>
              <w:top w:val="single" w:sz="2" w:space="0" w:color="E1E4E8"/>
              <w:left w:val="single" w:sz="2" w:space="0" w:color="F6F8FA"/>
              <w:bottom w:val="single" w:sz="2" w:space="0" w:color="E1E4E8"/>
            </w:tcBorders>
            <w:tcMar>
              <w:top w:w="80" w:type="dxa"/>
              <w:bottom w:w="80" w:type="dxa"/>
            </w:tcMar>
            <w:vAlign w:val="center"/>
          </w:tcPr>
          <w:p w14:paraId="578B9788" w14:textId="77777777" w:rsidR="00FE200F" w:rsidRDefault="00E77CAF">
            <w:pPr>
              <w:pStyle w:val="MdTableCell"/>
              <w:rPr>
                <w:sz w:val="22"/>
                <w:szCs w:val="22"/>
              </w:rPr>
            </w:pPr>
            <w:r>
              <w:rPr>
                <w:sz w:val="22"/>
                <w:szCs w:val="22"/>
              </w:rPr>
              <w:t>Европска правна рамка за ВИ, релевантна за усогласувањето на националната регулатива.</w:t>
            </w:r>
          </w:p>
        </w:tc>
      </w:tr>
      <w:tr w:rsidR="00FE200F" w14:paraId="22BA8D65" w14:textId="77777777">
        <w:trPr>
          <w:cantSplit/>
          <w:trHeight w:val="576"/>
        </w:trPr>
        <w:tc>
          <w:tcPr>
            <w:tcW w:w="1266" w:type="dxa"/>
            <w:tcBorders>
              <w:top w:val="single" w:sz="2" w:space="0" w:color="E1E4E8"/>
              <w:bottom w:val="single" w:sz="2" w:space="0" w:color="E1E4E8"/>
              <w:right w:val="single" w:sz="2" w:space="0" w:color="F6F8FA"/>
            </w:tcBorders>
            <w:tcMar>
              <w:top w:w="80" w:type="dxa"/>
              <w:bottom w:w="80" w:type="dxa"/>
            </w:tcMar>
            <w:vAlign w:val="center"/>
          </w:tcPr>
          <w:p w14:paraId="5C9FB6C9" w14:textId="77777777" w:rsidR="00FE200F" w:rsidRDefault="00E77CAF">
            <w:pPr>
              <w:pStyle w:val="MdTableCell"/>
              <w:rPr>
                <w:sz w:val="22"/>
                <w:szCs w:val="22"/>
              </w:rPr>
            </w:pPr>
            <w:r>
              <w:rPr>
                <w:rStyle w:val="MdStrong"/>
                <w:b w:val="0"/>
                <w:bCs w:val="0"/>
                <w:sz w:val="22"/>
                <w:szCs w:val="22"/>
              </w:rPr>
              <w:t>GARI</w:t>
            </w:r>
          </w:p>
        </w:tc>
        <w:tc>
          <w:tcPr>
            <w:tcW w:w="2877" w:type="dxa"/>
            <w:tcBorders>
              <w:top w:val="single" w:sz="2" w:space="0" w:color="E1E4E8"/>
              <w:left w:val="single" w:sz="2" w:space="0" w:color="F6F8FA"/>
              <w:bottom w:val="single" w:sz="2" w:space="0" w:color="E1E4E8"/>
              <w:right w:val="single" w:sz="2" w:space="0" w:color="F6F8FA"/>
            </w:tcBorders>
            <w:tcMar>
              <w:top w:w="80" w:type="dxa"/>
              <w:bottom w:w="80" w:type="dxa"/>
            </w:tcMar>
            <w:vAlign w:val="center"/>
          </w:tcPr>
          <w:p w14:paraId="76342205" w14:textId="77777777" w:rsidR="00FE200F" w:rsidRDefault="00E77CAF">
            <w:pPr>
              <w:pStyle w:val="MdTableCell"/>
              <w:rPr>
                <w:sz w:val="22"/>
                <w:szCs w:val="22"/>
              </w:rPr>
            </w:pPr>
            <w:r>
              <w:rPr>
                <w:sz w:val="22"/>
                <w:szCs w:val="22"/>
              </w:rPr>
              <w:t>Government AI Readiness Index</w:t>
            </w:r>
          </w:p>
        </w:tc>
        <w:tc>
          <w:tcPr>
            <w:tcW w:w="4979" w:type="dxa"/>
            <w:tcBorders>
              <w:top w:val="single" w:sz="2" w:space="0" w:color="E1E4E8"/>
              <w:left w:val="single" w:sz="2" w:space="0" w:color="F6F8FA"/>
              <w:bottom w:val="single" w:sz="2" w:space="0" w:color="E1E4E8"/>
            </w:tcBorders>
            <w:tcMar>
              <w:top w:w="80" w:type="dxa"/>
              <w:bottom w:w="80" w:type="dxa"/>
            </w:tcMar>
            <w:vAlign w:val="center"/>
          </w:tcPr>
          <w:p w14:paraId="490A1453" w14:textId="77777777" w:rsidR="00FE200F" w:rsidRDefault="00E77CAF">
            <w:pPr>
              <w:pStyle w:val="MdTableCell"/>
              <w:rPr>
                <w:sz w:val="22"/>
                <w:szCs w:val="22"/>
              </w:rPr>
            </w:pPr>
            <w:r>
              <w:rPr>
                <w:sz w:val="22"/>
                <w:szCs w:val="22"/>
              </w:rPr>
              <w:t>Индекс на Oxford Insights за подготвеност на владите за ВИ. Во Стратегијата се користат шест GARI димензии.</w:t>
            </w:r>
          </w:p>
        </w:tc>
      </w:tr>
      <w:tr w:rsidR="00FE200F" w14:paraId="637CB21C" w14:textId="77777777">
        <w:trPr>
          <w:cantSplit/>
          <w:trHeight w:val="576"/>
        </w:trPr>
        <w:tc>
          <w:tcPr>
            <w:tcW w:w="1266" w:type="dxa"/>
            <w:tcBorders>
              <w:top w:val="single" w:sz="2" w:space="0" w:color="E1E4E8"/>
              <w:bottom w:val="single" w:sz="2" w:space="0" w:color="E1E4E8"/>
              <w:right w:val="single" w:sz="2" w:space="0" w:color="F6F8FA"/>
            </w:tcBorders>
            <w:tcMar>
              <w:top w:w="80" w:type="dxa"/>
              <w:bottom w:w="80" w:type="dxa"/>
            </w:tcMar>
            <w:vAlign w:val="center"/>
          </w:tcPr>
          <w:p w14:paraId="69CF1BFA" w14:textId="77777777" w:rsidR="00FE200F" w:rsidRDefault="00E77CAF">
            <w:pPr>
              <w:pStyle w:val="MdTableCell"/>
              <w:rPr>
                <w:sz w:val="22"/>
                <w:szCs w:val="22"/>
              </w:rPr>
            </w:pPr>
            <w:r>
              <w:rPr>
                <w:rStyle w:val="MdStrong"/>
                <w:b w:val="0"/>
                <w:bCs w:val="0"/>
                <w:sz w:val="22"/>
                <w:szCs w:val="22"/>
              </w:rPr>
              <w:t>IPA III / ИПА III</w:t>
            </w:r>
          </w:p>
        </w:tc>
        <w:tc>
          <w:tcPr>
            <w:tcW w:w="2877" w:type="dxa"/>
            <w:tcBorders>
              <w:top w:val="single" w:sz="2" w:space="0" w:color="E1E4E8"/>
              <w:left w:val="single" w:sz="2" w:space="0" w:color="F6F8FA"/>
              <w:bottom w:val="single" w:sz="2" w:space="0" w:color="E1E4E8"/>
              <w:right w:val="single" w:sz="2" w:space="0" w:color="F6F8FA"/>
            </w:tcBorders>
            <w:tcMar>
              <w:top w:w="80" w:type="dxa"/>
              <w:bottom w:w="80" w:type="dxa"/>
            </w:tcMar>
            <w:vAlign w:val="center"/>
          </w:tcPr>
          <w:p w14:paraId="4971402E" w14:textId="77777777" w:rsidR="00FE200F" w:rsidRDefault="00E77CAF">
            <w:pPr>
              <w:pStyle w:val="MdTableCell"/>
              <w:rPr>
                <w:sz w:val="22"/>
                <w:szCs w:val="22"/>
              </w:rPr>
            </w:pPr>
            <w:r>
              <w:rPr>
                <w:sz w:val="22"/>
                <w:szCs w:val="22"/>
              </w:rPr>
              <w:t>Instrument for Pre-accession Assistance III</w:t>
            </w:r>
          </w:p>
        </w:tc>
        <w:tc>
          <w:tcPr>
            <w:tcW w:w="4979" w:type="dxa"/>
            <w:tcBorders>
              <w:top w:val="single" w:sz="2" w:space="0" w:color="E1E4E8"/>
              <w:left w:val="single" w:sz="2" w:space="0" w:color="F6F8FA"/>
              <w:bottom w:val="single" w:sz="2" w:space="0" w:color="E1E4E8"/>
            </w:tcBorders>
            <w:tcMar>
              <w:top w:w="80" w:type="dxa"/>
              <w:bottom w:w="80" w:type="dxa"/>
            </w:tcMar>
            <w:vAlign w:val="center"/>
          </w:tcPr>
          <w:p w14:paraId="18B7EFF1" w14:textId="77777777" w:rsidR="00FE200F" w:rsidRDefault="00E77CAF">
            <w:pPr>
              <w:pStyle w:val="MdTableCell"/>
              <w:rPr>
                <w:sz w:val="22"/>
                <w:szCs w:val="22"/>
              </w:rPr>
            </w:pPr>
            <w:r>
              <w:rPr>
                <w:sz w:val="22"/>
                <w:szCs w:val="22"/>
              </w:rPr>
              <w:t>Инструмент на ЕУ за претпристапна помош.</w:t>
            </w:r>
          </w:p>
        </w:tc>
      </w:tr>
      <w:tr w:rsidR="00FE200F" w14:paraId="099332CA" w14:textId="77777777">
        <w:trPr>
          <w:cantSplit/>
          <w:trHeight w:val="576"/>
        </w:trPr>
        <w:tc>
          <w:tcPr>
            <w:tcW w:w="1266" w:type="dxa"/>
            <w:tcBorders>
              <w:top w:val="single" w:sz="2" w:space="0" w:color="E1E4E8"/>
              <w:bottom w:val="single" w:sz="2" w:space="0" w:color="E1E4E8"/>
              <w:right w:val="single" w:sz="2" w:space="0" w:color="F6F8FA"/>
            </w:tcBorders>
            <w:tcMar>
              <w:top w:w="80" w:type="dxa"/>
              <w:bottom w:w="80" w:type="dxa"/>
            </w:tcMar>
            <w:vAlign w:val="center"/>
          </w:tcPr>
          <w:p w14:paraId="41C9D9E7" w14:textId="77777777" w:rsidR="00FE200F" w:rsidRDefault="00E77CAF">
            <w:pPr>
              <w:pStyle w:val="MdTableCell"/>
              <w:rPr>
                <w:sz w:val="22"/>
                <w:szCs w:val="22"/>
              </w:rPr>
            </w:pPr>
            <w:r>
              <w:rPr>
                <w:rStyle w:val="MdStrong"/>
                <w:b w:val="0"/>
                <w:bCs w:val="0"/>
                <w:sz w:val="22"/>
                <w:szCs w:val="22"/>
              </w:rPr>
              <w:t>SPS</w:t>
            </w:r>
          </w:p>
        </w:tc>
        <w:tc>
          <w:tcPr>
            <w:tcW w:w="2877" w:type="dxa"/>
            <w:tcBorders>
              <w:top w:val="single" w:sz="2" w:space="0" w:color="E1E4E8"/>
              <w:left w:val="single" w:sz="2" w:space="0" w:color="F6F8FA"/>
              <w:bottom w:val="single" w:sz="2" w:space="0" w:color="E1E4E8"/>
              <w:right w:val="single" w:sz="2" w:space="0" w:color="F6F8FA"/>
            </w:tcBorders>
            <w:tcMar>
              <w:top w:w="80" w:type="dxa"/>
              <w:bottom w:w="80" w:type="dxa"/>
            </w:tcMar>
            <w:vAlign w:val="center"/>
          </w:tcPr>
          <w:p w14:paraId="77B944D0" w14:textId="77777777" w:rsidR="00FE200F" w:rsidRDefault="00E77CAF">
            <w:pPr>
              <w:pStyle w:val="MdTableCell"/>
              <w:rPr>
                <w:sz w:val="22"/>
                <w:szCs w:val="22"/>
              </w:rPr>
            </w:pPr>
            <w:r>
              <w:rPr>
                <w:sz w:val="22"/>
                <w:szCs w:val="22"/>
              </w:rPr>
              <w:t>NATO</w:t>
            </w:r>
            <w:r>
              <w:rPr>
                <w:sz w:val="22"/>
                <w:szCs w:val="22"/>
              </w:rPr>
              <w:t xml:space="preserve"> Science for Peace and Security Programme</w:t>
            </w:r>
          </w:p>
        </w:tc>
        <w:tc>
          <w:tcPr>
            <w:tcW w:w="4979" w:type="dxa"/>
            <w:tcBorders>
              <w:top w:val="single" w:sz="2" w:space="0" w:color="E1E4E8"/>
              <w:left w:val="single" w:sz="2" w:space="0" w:color="F6F8FA"/>
              <w:bottom w:val="single" w:sz="2" w:space="0" w:color="E1E4E8"/>
            </w:tcBorders>
            <w:tcMar>
              <w:top w:w="80" w:type="dxa"/>
              <w:bottom w:w="80" w:type="dxa"/>
            </w:tcMar>
            <w:vAlign w:val="center"/>
          </w:tcPr>
          <w:p w14:paraId="1991CDDC" w14:textId="77777777" w:rsidR="00FE200F" w:rsidRDefault="00E77CAF">
            <w:pPr>
              <w:pStyle w:val="MdTableCell"/>
              <w:rPr>
                <w:sz w:val="22"/>
                <w:szCs w:val="22"/>
              </w:rPr>
            </w:pPr>
            <w:r>
              <w:rPr>
                <w:sz w:val="22"/>
                <w:szCs w:val="22"/>
              </w:rPr>
              <w:t>Можен надворешен извор за сајбер-безбедносни активности, само по одобрено проектно финансирање.</w:t>
            </w:r>
          </w:p>
        </w:tc>
      </w:tr>
      <w:tr w:rsidR="00FE200F" w14:paraId="6D7E76B0" w14:textId="77777777">
        <w:trPr>
          <w:cantSplit/>
          <w:trHeight w:val="576"/>
        </w:trPr>
        <w:tc>
          <w:tcPr>
            <w:tcW w:w="1266" w:type="dxa"/>
            <w:tcBorders>
              <w:top w:val="single" w:sz="2" w:space="0" w:color="E1E4E8"/>
              <w:bottom w:val="single" w:sz="4" w:space="0" w:color="E1E4E8"/>
              <w:right w:val="single" w:sz="2" w:space="0" w:color="F6F8FA"/>
            </w:tcBorders>
            <w:tcMar>
              <w:top w:w="80" w:type="dxa"/>
              <w:bottom w:w="80" w:type="dxa"/>
            </w:tcMar>
            <w:vAlign w:val="center"/>
          </w:tcPr>
          <w:p w14:paraId="6F1015E5" w14:textId="77777777" w:rsidR="00FE200F" w:rsidRDefault="00E77CAF">
            <w:pPr>
              <w:pStyle w:val="MdTableCell"/>
              <w:rPr>
                <w:sz w:val="22"/>
                <w:szCs w:val="22"/>
              </w:rPr>
            </w:pPr>
            <w:r>
              <w:rPr>
                <w:rStyle w:val="MdStrong"/>
                <w:b w:val="0"/>
                <w:bCs w:val="0"/>
                <w:sz w:val="22"/>
                <w:szCs w:val="22"/>
              </w:rPr>
              <w:t>ОПФИ</w:t>
            </w:r>
          </w:p>
        </w:tc>
        <w:tc>
          <w:tcPr>
            <w:tcW w:w="2877" w:type="dxa"/>
            <w:tcBorders>
              <w:top w:val="single" w:sz="2" w:space="0" w:color="E1E4E8"/>
              <w:left w:val="single" w:sz="2" w:space="0" w:color="F6F8FA"/>
              <w:bottom w:val="single" w:sz="4" w:space="0" w:color="E1E4E8"/>
              <w:right w:val="single" w:sz="2" w:space="0" w:color="F6F8FA"/>
            </w:tcBorders>
            <w:tcMar>
              <w:top w:w="80" w:type="dxa"/>
              <w:bottom w:w="80" w:type="dxa"/>
            </w:tcMar>
            <w:vAlign w:val="center"/>
          </w:tcPr>
          <w:p w14:paraId="5724D9F7" w14:textId="77777777" w:rsidR="00FE200F" w:rsidRDefault="00E77CAF">
            <w:pPr>
              <w:pStyle w:val="MdTableCell"/>
              <w:rPr>
                <w:sz w:val="22"/>
                <w:szCs w:val="22"/>
              </w:rPr>
            </w:pPr>
            <w:r>
              <w:rPr>
                <w:sz w:val="22"/>
                <w:szCs w:val="22"/>
              </w:rPr>
              <w:t>Образец за проценка на финансиски импликации</w:t>
            </w:r>
          </w:p>
        </w:tc>
        <w:tc>
          <w:tcPr>
            <w:tcW w:w="4979" w:type="dxa"/>
            <w:tcBorders>
              <w:top w:val="single" w:sz="2" w:space="0" w:color="E1E4E8"/>
              <w:left w:val="single" w:sz="2" w:space="0" w:color="F6F8FA"/>
              <w:bottom w:val="single" w:sz="4" w:space="0" w:color="E1E4E8"/>
            </w:tcBorders>
            <w:tcMar>
              <w:top w:w="80" w:type="dxa"/>
              <w:bottom w:w="80" w:type="dxa"/>
            </w:tcMar>
            <w:vAlign w:val="center"/>
          </w:tcPr>
          <w:p w14:paraId="3BCAC899" w14:textId="77777777" w:rsidR="00FE200F" w:rsidRDefault="00E77CAF">
            <w:pPr>
              <w:pStyle w:val="MdTableCell"/>
              <w:rPr>
                <w:sz w:val="22"/>
                <w:szCs w:val="22"/>
              </w:rPr>
            </w:pPr>
            <w:r>
              <w:rPr>
                <w:sz w:val="22"/>
                <w:szCs w:val="22"/>
              </w:rPr>
              <w:t>Образец за финансиска проценка што подлежи на валидација од Министе</w:t>
            </w:r>
            <w:r>
              <w:rPr>
                <w:sz w:val="22"/>
                <w:szCs w:val="22"/>
              </w:rPr>
              <w:t>рството за финансии.</w:t>
            </w:r>
          </w:p>
        </w:tc>
      </w:tr>
    </w:tbl>
    <w:p w14:paraId="279C275D" w14:textId="77777777" w:rsidR="00FE200F" w:rsidRDefault="00FE200F">
      <w:pPr>
        <w:pStyle w:val="MdSpace"/>
        <w:spacing w:after="60"/>
        <w:rPr>
          <w:sz w:val="22"/>
          <w:szCs w:val="22"/>
          <w:lang w:val="mk-MK"/>
        </w:rPr>
      </w:pPr>
    </w:p>
    <w:p w14:paraId="2C9EE424" w14:textId="77777777" w:rsidR="00FE200F" w:rsidRDefault="00FE200F">
      <w:pPr>
        <w:spacing w:after="100" w:line="252" w:lineRule="auto"/>
        <w:rPr>
          <w:rFonts w:ascii="Times New Roman" w:hAnsi="Times New Roman" w:cs="Times New Roman"/>
        </w:rPr>
      </w:pPr>
    </w:p>
    <w:p w14:paraId="66A30C3F" w14:textId="77777777" w:rsidR="00FE200F" w:rsidRDefault="00FE200F">
      <w:pPr>
        <w:pStyle w:val="Heading2"/>
        <w:spacing w:before="0"/>
        <w:jc w:val="both"/>
        <w:rPr>
          <w:rFonts w:ascii="Times New Roman" w:hAnsi="Times New Roman" w:cs="Times New Roman"/>
          <w:color w:val="auto"/>
          <w:sz w:val="22"/>
          <w:szCs w:val="22"/>
          <w:lang w:val="en-GB"/>
        </w:rPr>
      </w:pPr>
    </w:p>
    <w:p w14:paraId="1819BE8E" w14:textId="77777777" w:rsidR="00FE200F" w:rsidRDefault="00FE200F">
      <w:pPr>
        <w:rPr>
          <w:rFonts w:ascii="Times New Roman" w:hAnsi="Times New Roman" w:cs="Times New Roman"/>
          <w:lang w:val="en-GB"/>
        </w:rPr>
      </w:pPr>
    </w:p>
    <w:p w14:paraId="2EB0161E" w14:textId="77777777" w:rsidR="00FE200F" w:rsidRDefault="00E77CAF">
      <w:pPr>
        <w:rPr>
          <w:rFonts w:ascii="Times New Roman" w:hAnsi="Times New Roman" w:cs="Times New Roman"/>
          <w:lang w:val="en-GB"/>
        </w:rPr>
      </w:pPr>
      <w:r>
        <w:br w:type="page"/>
      </w:r>
    </w:p>
    <w:p w14:paraId="344D5025" w14:textId="77777777" w:rsidR="00FE200F" w:rsidRDefault="00E77CAF">
      <w:pPr>
        <w:pStyle w:val="Heading1"/>
        <w:spacing w:before="0"/>
        <w:rPr>
          <w:rFonts w:ascii="Times New Roman" w:hAnsi="Times New Roman" w:cs="Times New Roman"/>
          <w:color w:val="auto"/>
          <w:sz w:val="22"/>
          <w:szCs w:val="22"/>
        </w:rPr>
      </w:pPr>
      <w:bookmarkStart w:id="173" w:name="_Toc240630112"/>
      <w:bookmarkStart w:id="174" w:name="_Toc243908055"/>
      <w:r>
        <w:rPr>
          <w:rFonts w:ascii="Times New Roman" w:hAnsi="Times New Roman" w:cs="Times New Roman"/>
          <w:lang w:val="mk-MK"/>
        </w:rPr>
        <w:lastRenderedPageBreak/>
        <w:t>13. УТВРДУВАЊЕ НА РИЗИЦИ</w:t>
      </w:r>
      <w:bookmarkEnd w:id="173"/>
      <w:bookmarkEnd w:id="174"/>
    </w:p>
    <w:p w14:paraId="15086DB7" w14:textId="77777777" w:rsidR="00FE200F" w:rsidRDefault="00E77CAF">
      <w:pPr>
        <w:spacing w:after="100" w:line="252" w:lineRule="auto"/>
        <w:jc w:val="both"/>
        <w:rPr>
          <w:rFonts w:ascii="Times New Roman" w:hAnsi="Times New Roman" w:cs="Times New Roman"/>
        </w:rPr>
      </w:pPr>
      <w:r>
        <w:rPr>
          <w:rFonts w:ascii="Times New Roman" w:hAnsi="Times New Roman" w:cs="Times New Roman"/>
          <w:lang w:val="mk-MK"/>
        </w:rPr>
        <w:t>Ризиците треба да се третираат систематски, уште од фазата на избор на случај на употреба.</w:t>
      </w:r>
    </w:p>
    <w:p w14:paraId="7F65C9E3" w14:textId="77777777" w:rsidR="00FE200F" w:rsidRDefault="00E77CAF">
      <w:pPr>
        <w:spacing w:after="100" w:line="252" w:lineRule="auto"/>
        <w:jc w:val="both"/>
        <w:rPr>
          <w:rFonts w:ascii="Times New Roman" w:hAnsi="Times New Roman" w:cs="Times New Roman"/>
        </w:rPr>
      </w:pPr>
      <w:r>
        <w:rPr>
          <w:rFonts w:ascii="Times New Roman" w:hAnsi="Times New Roman" w:cs="Times New Roman"/>
          <w:lang w:val="mk-MK"/>
        </w:rPr>
        <w:t>Подолу е дадена кратка матрица за иницијално утврдување на ризици:</w:t>
      </w:r>
    </w:p>
    <w:p w14:paraId="7EFF0372" w14:textId="77777777" w:rsidR="00FE200F" w:rsidRDefault="00E77CAF">
      <w:pPr>
        <w:spacing w:after="100" w:line="252" w:lineRule="auto"/>
        <w:jc w:val="both"/>
        <w:rPr>
          <w:rFonts w:ascii="Times New Roman" w:hAnsi="Times New Roman" w:cs="Times New Roman"/>
        </w:rPr>
      </w:pPr>
      <w:r>
        <w:rPr>
          <w:rFonts w:ascii="Times New Roman" w:hAnsi="Times New Roman" w:cs="Times New Roman"/>
          <w:lang w:val="mk-MK"/>
        </w:rPr>
        <w:t xml:space="preserve">Матрицата ги консолидира ризиците </w:t>
      </w:r>
      <w:r>
        <w:rPr>
          <w:rFonts w:ascii="Times New Roman" w:hAnsi="Times New Roman" w:cs="Times New Roman"/>
          <w:lang w:val="mk-MK"/>
        </w:rPr>
        <w:t>идентификувани во SWOT и PESTLE анализите, Теоријата на промена, приоритетните области и постојниот регистар на ризици во точка 6.5.</w:t>
      </w:r>
    </w:p>
    <w:p w14:paraId="18342188" w14:textId="77777777" w:rsidR="00FE200F" w:rsidRDefault="00E77CAF">
      <w:pPr>
        <w:spacing w:after="100" w:line="252" w:lineRule="auto"/>
        <w:jc w:val="both"/>
        <w:rPr>
          <w:rFonts w:ascii="Times New Roman" w:hAnsi="Times New Roman" w:cs="Times New Roman"/>
        </w:rPr>
      </w:pPr>
      <w:r>
        <w:rPr>
          <w:rFonts w:ascii="Times New Roman" w:hAnsi="Times New Roman" w:cs="Times New Roman"/>
          <w:lang w:val="mk-MK"/>
        </w:rPr>
        <w:t>Матрица за иницијално утврдување на ризици</w:t>
      </w:r>
    </w:p>
    <w:tbl>
      <w:tblPr>
        <w:tblStyle w:val="GridTable5Dark-Accent5"/>
        <w:tblW w:w="9112" w:type="dxa"/>
        <w:tblInd w:w="113" w:type="dxa"/>
        <w:shd w:val="clear" w:color="auto" w:fill="DAEEF3"/>
        <w:tblLayout w:type="fixed"/>
        <w:tblLook w:val="04A0" w:firstRow="1" w:lastRow="0" w:firstColumn="1" w:lastColumn="0" w:noHBand="0" w:noVBand="1"/>
      </w:tblPr>
      <w:tblGrid>
        <w:gridCol w:w="2350"/>
        <w:gridCol w:w="2248"/>
        <w:gridCol w:w="2257"/>
        <w:gridCol w:w="2257"/>
      </w:tblGrid>
      <w:tr w:rsidR="00FE200F" w14:paraId="3356545E" w14:textId="77777777" w:rsidTr="00FE200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349" w:type="dxa"/>
          </w:tcPr>
          <w:p w14:paraId="22F70E4A" w14:textId="77777777" w:rsidR="00FE200F" w:rsidRDefault="00E77CAF">
            <w:pPr>
              <w:jc w:val="both"/>
              <w:rPr>
                <w:rFonts w:ascii="Times New Roman" w:hAnsi="Times New Roman" w:cs="Times New Roman"/>
                <w:lang w:val="mk-MK"/>
              </w:rPr>
            </w:pPr>
            <w:r>
              <w:rPr>
                <w:rFonts w:ascii="Times New Roman" w:hAnsi="Times New Roman" w:cs="Times New Roman"/>
                <w:color w:val="FFFFFF" w:themeColor="background1"/>
                <w:lang w:val="mk-MK"/>
              </w:rPr>
              <w:t>Ризик</w:t>
            </w:r>
          </w:p>
        </w:tc>
        <w:tc>
          <w:tcPr>
            <w:tcW w:w="2248" w:type="dxa"/>
            <w:tcBorders>
              <w:bottom w:val="nil"/>
            </w:tcBorders>
          </w:tcPr>
          <w:p w14:paraId="7AEBE2FA" w14:textId="77777777" w:rsidR="00FE200F" w:rsidRDefault="00E77CA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FFFFFF" w:themeColor="background1"/>
                <w:lang w:val="mk-MK"/>
              </w:rPr>
              <w:t>Веројатност за настанување на ризикот</w:t>
            </w:r>
          </w:p>
        </w:tc>
        <w:tc>
          <w:tcPr>
            <w:tcW w:w="2257" w:type="dxa"/>
            <w:tcBorders>
              <w:bottom w:val="nil"/>
            </w:tcBorders>
          </w:tcPr>
          <w:p w14:paraId="466F9691" w14:textId="77777777" w:rsidR="00FE200F" w:rsidRDefault="00E77CA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FFFFFF" w:themeColor="background1"/>
                <w:lang w:val="mk-MK"/>
              </w:rPr>
              <w:t xml:space="preserve">Влијание на ризикот врз остварување </w:t>
            </w:r>
            <w:r>
              <w:rPr>
                <w:rFonts w:ascii="Times New Roman" w:hAnsi="Times New Roman" w:cs="Times New Roman"/>
                <w:color w:val="FFFFFF" w:themeColor="background1"/>
                <w:lang w:val="mk-MK"/>
              </w:rPr>
              <w:t>на целите</w:t>
            </w:r>
          </w:p>
        </w:tc>
        <w:tc>
          <w:tcPr>
            <w:tcW w:w="2257" w:type="dxa"/>
            <w:tcBorders>
              <w:bottom w:val="nil"/>
            </w:tcBorders>
          </w:tcPr>
          <w:p w14:paraId="41F01B5B" w14:textId="77777777" w:rsidR="00FE200F" w:rsidRDefault="00E77CA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color w:val="FFFFFF" w:themeColor="background1"/>
                <w:lang w:val="mk-MK"/>
              </w:rPr>
              <w:t>Мерки за справување со ризикот</w:t>
            </w:r>
          </w:p>
        </w:tc>
      </w:tr>
      <w:tr w:rsidR="00FE200F" w14:paraId="3574A95D" w14:textId="77777777" w:rsidTr="00FE200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349" w:type="dxa"/>
            <w:tcBorders>
              <w:right w:val="nil"/>
            </w:tcBorders>
          </w:tcPr>
          <w:p w14:paraId="11EF599E" w14:textId="77777777" w:rsidR="00FE200F" w:rsidRDefault="00E77CAF">
            <w:pPr>
              <w:jc w:val="both"/>
              <w:rPr>
                <w:rFonts w:ascii="Times New Roman" w:hAnsi="Times New Roman" w:cs="Times New Roman"/>
                <w:lang w:val="mk-MK"/>
              </w:rPr>
            </w:pPr>
            <w:r>
              <w:rPr>
                <w:rFonts w:ascii="Times New Roman" w:hAnsi="Times New Roman" w:cs="Times New Roman"/>
                <w:color w:val="FFFFFF" w:themeColor="background1"/>
                <w:lang w:val="mk-MK"/>
              </w:rPr>
              <w:t>Недоволен квалитет, достапност и интероперабилност на податоците</w:t>
            </w:r>
          </w:p>
        </w:tc>
        <w:tc>
          <w:tcPr>
            <w:tcW w:w="2248" w:type="dxa"/>
          </w:tcPr>
          <w:p w14:paraId="264DB01B"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lang w:val="mk-MK"/>
              </w:rPr>
              <w:t>Средна</w:t>
            </w:r>
          </w:p>
        </w:tc>
        <w:tc>
          <w:tcPr>
            <w:tcW w:w="2257" w:type="dxa"/>
          </w:tcPr>
          <w:p w14:paraId="0D69CE02"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lang w:val="mk-MK"/>
              </w:rPr>
              <w:t>Големо</w:t>
            </w:r>
          </w:p>
        </w:tc>
        <w:tc>
          <w:tcPr>
            <w:tcW w:w="2257" w:type="dxa"/>
          </w:tcPr>
          <w:p w14:paraId="2F10E02B"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lang w:val="mk-MK"/>
              </w:rPr>
              <w:t>Data governance, стандарди, чистење, каталогизација, API и интероперабилност</w:t>
            </w:r>
          </w:p>
        </w:tc>
      </w:tr>
      <w:tr w:rsidR="00FE200F" w14:paraId="1D4E07DE" w14:textId="77777777" w:rsidTr="00FE200F">
        <w:trPr>
          <w:cantSplit/>
        </w:trPr>
        <w:tc>
          <w:tcPr>
            <w:cnfStyle w:val="001000000000" w:firstRow="0" w:lastRow="0" w:firstColumn="1" w:lastColumn="0" w:oddVBand="0" w:evenVBand="0" w:oddHBand="0" w:evenHBand="0" w:firstRowFirstColumn="0" w:firstRowLastColumn="0" w:lastRowFirstColumn="0" w:lastRowLastColumn="0"/>
            <w:tcW w:w="2349" w:type="dxa"/>
            <w:tcBorders>
              <w:right w:val="nil"/>
            </w:tcBorders>
          </w:tcPr>
          <w:p w14:paraId="57922329" w14:textId="77777777" w:rsidR="00FE200F" w:rsidRDefault="00E77CAF">
            <w:pPr>
              <w:jc w:val="both"/>
              <w:rPr>
                <w:rFonts w:ascii="Times New Roman" w:hAnsi="Times New Roman" w:cs="Times New Roman"/>
                <w:lang w:val="mk-MK"/>
              </w:rPr>
            </w:pPr>
            <w:r>
              <w:rPr>
                <w:rFonts w:ascii="Times New Roman" w:hAnsi="Times New Roman" w:cs="Times New Roman"/>
                <w:color w:val="FFFFFF" w:themeColor="background1"/>
                <w:lang w:val="mk-MK"/>
              </w:rPr>
              <w:t>Недоволни HPC и дигитални инфраструктурни капацитети</w:t>
            </w:r>
          </w:p>
        </w:tc>
        <w:tc>
          <w:tcPr>
            <w:tcW w:w="2248" w:type="dxa"/>
          </w:tcPr>
          <w:p w14:paraId="1C5BB596"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lang w:val="mk-MK"/>
              </w:rPr>
              <w:t>Средна</w:t>
            </w:r>
          </w:p>
        </w:tc>
        <w:tc>
          <w:tcPr>
            <w:tcW w:w="2257" w:type="dxa"/>
          </w:tcPr>
          <w:p w14:paraId="0551FF3B"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lang w:val="mk-MK"/>
              </w:rPr>
              <w:t>Големо</w:t>
            </w:r>
          </w:p>
        </w:tc>
        <w:tc>
          <w:tcPr>
            <w:tcW w:w="2257" w:type="dxa"/>
          </w:tcPr>
          <w:p w14:paraId="35B935B4"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lang w:val="mk-MK"/>
              </w:rPr>
              <w:t>Фазна надградба на HPC, cloud и compute credits, резервни капацитети, EuroHPC и регионални партнерства</w:t>
            </w:r>
          </w:p>
        </w:tc>
      </w:tr>
      <w:tr w:rsidR="00FE200F" w14:paraId="66B0E410" w14:textId="77777777" w:rsidTr="00FE200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349" w:type="dxa"/>
            <w:tcBorders>
              <w:right w:val="nil"/>
            </w:tcBorders>
          </w:tcPr>
          <w:p w14:paraId="5590A271" w14:textId="77777777" w:rsidR="00FE200F" w:rsidRDefault="00E77CAF">
            <w:pPr>
              <w:jc w:val="both"/>
              <w:rPr>
                <w:rFonts w:ascii="Times New Roman" w:hAnsi="Times New Roman" w:cs="Times New Roman"/>
                <w:lang w:val="mk-MK"/>
              </w:rPr>
            </w:pPr>
            <w:r>
              <w:rPr>
                <w:rFonts w:ascii="Times New Roman" w:hAnsi="Times New Roman" w:cs="Times New Roman"/>
                <w:color w:val="FFFFFF" w:themeColor="background1"/>
                <w:lang w:val="mk-MK"/>
              </w:rPr>
              <w:t>Недостаток и одлив на ВИ кадар и експертиза</w:t>
            </w:r>
          </w:p>
        </w:tc>
        <w:tc>
          <w:tcPr>
            <w:tcW w:w="2248" w:type="dxa"/>
          </w:tcPr>
          <w:p w14:paraId="28B4BE3E"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lang w:val="mk-MK"/>
              </w:rPr>
              <w:t>Голема</w:t>
            </w:r>
          </w:p>
        </w:tc>
        <w:tc>
          <w:tcPr>
            <w:tcW w:w="2257" w:type="dxa"/>
          </w:tcPr>
          <w:p w14:paraId="38F3074C"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lang w:val="mk-MK"/>
              </w:rPr>
              <w:t>Големо</w:t>
            </w:r>
          </w:p>
        </w:tc>
        <w:tc>
          <w:tcPr>
            <w:tcW w:w="2257" w:type="dxa"/>
          </w:tcPr>
          <w:p w14:paraId="5E6BBFFB"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lang w:val="mk-MK"/>
              </w:rPr>
              <w:t>Обуки, партнерства со академијата и приватниот сектор, конкурентни услови, прогр</w:t>
            </w:r>
            <w:r>
              <w:rPr>
                <w:rFonts w:ascii="Times New Roman" w:hAnsi="Times New Roman" w:cs="Times New Roman"/>
                <w:lang w:val="mk-MK"/>
              </w:rPr>
              <w:t>ама за враќање на дијаспората и ангажман на експерти</w:t>
            </w:r>
          </w:p>
        </w:tc>
      </w:tr>
      <w:tr w:rsidR="00FE200F" w14:paraId="6ACD3A05" w14:textId="77777777" w:rsidTr="00FE200F">
        <w:trPr>
          <w:cantSplit/>
        </w:trPr>
        <w:tc>
          <w:tcPr>
            <w:cnfStyle w:val="001000000000" w:firstRow="0" w:lastRow="0" w:firstColumn="1" w:lastColumn="0" w:oddVBand="0" w:evenVBand="0" w:oddHBand="0" w:evenHBand="0" w:firstRowFirstColumn="0" w:firstRowLastColumn="0" w:lastRowFirstColumn="0" w:lastRowLastColumn="0"/>
            <w:tcW w:w="2349" w:type="dxa"/>
            <w:tcBorders>
              <w:right w:val="nil"/>
            </w:tcBorders>
          </w:tcPr>
          <w:p w14:paraId="2B2A1886" w14:textId="77777777" w:rsidR="00FE200F" w:rsidRDefault="00E77CAF">
            <w:pPr>
              <w:jc w:val="both"/>
              <w:rPr>
                <w:rFonts w:ascii="Times New Roman" w:hAnsi="Times New Roman" w:cs="Times New Roman"/>
                <w:lang w:val="mk-MK"/>
              </w:rPr>
            </w:pPr>
            <w:r>
              <w:rPr>
                <w:rFonts w:ascii="Times New Roman" w:hAnsi="Times New Roman" w:cs="Times New Roman"/>
                <w:color w:val="FFFFFF" w:themeColor="background1"/>
                <w:lang w:val="mk-MK"/>
              </w:rPr>
              <w:t>Правна и етичка неподготвеност или недоследности</w:t>
            </w:r>
          </w:p>
        </w:tc>
        <w:tc>
          <w:tcPr>
            <w:tcW w:w="2248" w:type="dxa"/>
          </w:tcPr>
          <w:p w14:paraId="08FB96F0"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lang w:val="mk-MK"/>
              </w:rPr>
              <w:t>Средна</w:t>
            </w:r>
          </w:p>
        </w:tc>
        <w:tc>
          <w:tcPr>
            <w:tcW w:w="2257" w:type="dxa"/>
          </w:tcPr>
          <w:p w14:paraId="36DA28E4"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lang w:val="mk-MK"/>
              </w:rPr>
              <w:t>Големо</w:t>
            </w:r>
          </w:p>
        </w:tc>
        <w:tc>
          <w:tcPr>
            <w:tcW w:w="2257" w:type="dxa"/>
          </w:tcPr>
          <w:p w14:paraId="6A5F730A"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lang w:val="mk-MK"/>
              </w:rPr>
              <w:t>Закон за ВИ, упатства, проценки на влијание, правна ревизија, регулаторен sandbox и човечки надзор</w:t>
            </w:r>
          </w:p>
        </w:tc>
      </w:tr>
      <w:tr w:rsidR="00FE200F" w14:paraId="1FDD5054" w14:textId="77777777" w:rsidTr="00FE200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349" w:type="dxa"/>
            <w:tcBorders>
              <w:right w:val="nil"/>
            </w:tcBorders>
          </w:tcPr>
          <w:p w14:paraId="5E37C787" w14:textId="77777777" w:rsidR="00FE200F" w:rsidRDefault="00E77CAF">
            <w:pPr>
              <w:jc w:val="both"/>
              <w:rPr>
                <w:rFonts w:ascii="Times New Roman" w:hAnsi="Times New Roman" w:cs="Times New Roman"/>
                <w:lang w:val="mk-MK"/>
              </w:rPr>
            </w:pPr>
            <w:r>
              <w:rPr>
                <w:rFonts w:ascii="Times New Roman" w:hAnsi="Times New Roman" w:cs="Times New Roman"/>
                <w:color w:val="FFFFFF" w:themeColor="background1"/>
                <w:lang w:val="mk-MK"/>
              </w:rPr>
              <w:t xml:space="preserve">Алгоритамска пристрасност, </w:t>
            </w:r>
            <w:r>
              <w:rPr>
                <w:rFonts w:ascii="Times New Roman" w:hAnsi="Times New Roman" w:cs="Times New Roman"/>
                <w:color w:val="FFFFFF" w:themeColor="background1"/>
                <w:lang w:val="mk-MK"/>
              </w:rPr>
              <w:t>дискриминација и повреда на приватноста</w:t>
            </w:r>
          </w:p>
        </w:tc>
        <w:tc>
          <w:tcPr>
            <w:tcW w:w="2248" w:type="dxa"/>
          </w:tcPr>
          <w:p w14:paraId="1CEE6DAC"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lang w:val="mk-MK"/>
              </w:rPr>
              <w:t>Средна</w:t>
            </w:r>
          </w:p>
        </w:tc>
        <w:tc>
          <w:tcPr>
            <w:tcW w:w="2257" w:type="dxa"/>
          </w:tcPr>
          <w:p w14:paraId="01F21AFB"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lang w:val="mk-MK"/>
              </w:rPr>
              <w:t>Големо</w:t>
            </w:r>
          </w:p>
        </w:tc>
        <w:tc>
          <w:tcPr>
            <w:tcW w:w="2257" w:type="dxa"/>
          </w:tcPr>
          <w:p w14:paraId="4001CB34"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lang w:val="mk-MK"/>
              </w:rPr>
              <w:t>Проценка на ризик, тестирање на пристрасност, независна ревизија, privacy-by-design, човечки надзор и редрес</w:t>
            </w:r>
          </w:p>
        </w:tc>
      </w:tr>
      <w:tr w:rsidR="00FE200F" w14:paraId="6A1532A3" w14:textId="77777777" w:rsidTr="00FE200F">
        <w:trPr>
          <w:cantSplit/>
        </w:trPr>
        <w:tc>
          <w:tcPr>
            <w:cnfStyle w:val="001000000000" w:firstRow="0" w:lastRow="0" w:firstColumn="1" w:lastColumn="0" w:oddVBand="0" w:evenVBand="0" w:oddHBand="0" w:evenHBand="0" w:firstRowFirstColumn="0" w:firstRowLastColumn="0" w:lastRowFirstColumn="0" w:lastRowLastColumn="0"/>
            <w:tcW w:w="2349" w:type="dxa"/>
            <w:tcBorders>
              <w:right w:val="nil"/>
            </w:tcBorders>
          </w:tcPr>
          <w:p w14:paraId="085F671C" w14:textId="77777777" w:rsidR="00FE200F" w:rsidRDefault="00E77CAF">
            <w:pPr>
              <w:jc w:val="both"/>
              <w:rPr>
                <w:rFonts w:ascii="Times New Roman" w:hAnsi="Times New Roman" w:cs="Times New Roman"/>
                <w:lang w:val="mk-MK"/>
              </w:rPr>
            </w:pPr>
            <w:r>
              <w:rPr>
                <w:rFonts w:ascii="Times New Roman" w:hAnsi="Times New Roman" w:cs="Times New Roman"/>
                <w:color w:val="FFFFFF" w:themeColor="background1"/>
                <w:lang w:val="mk-MK"/>
              </w:rPr>
              <w:lastRenderedPageBreak/>
              <w:t>Сајбер-напади, злоупотреба на ВИ и дезинформации</w:t>
            </w:r>
          </w:p>
        </w:tc>
        <w:tc>
          <w:tcPr>
            <w:tcW w:w="2248" w:type="dxa"/>
          </w:tcPr>
          <w:p w14:paraId="4F034050"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lang w:val="mk-MK"/>
              </w:rPr>
              <w:t>Средна</w:t>
            </w:r>
          </w:p>
        </w:tc>
        <w:tc>
          <w:tcPr>
            <w:tcW w:w="2257" w:type="dxa"/>
          </w:tcPr>
          <w:p w14:paraId="4AC71E2B"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lang w:val="mk-MK"/>
              </w:rPr>
              <w:t>Големо</w:t>
            </w:r>
          </w:p>
        </w:tc>
        <w:tc>
          <w:tcPr>
            <w:tcW w:w="2257" w:type="dxa"/>
          </w:tcPr>
          <w:p w14:paraId="53DD410B"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lang w:val="mk-MK"/>
              </w:rPr>
              <w:t>Безбедносни контроли, логирањ</w:t>
            </w:r>
            <w:r>
              <w:rPr>
                <w:rFonts w:ascii="Times New Roman" w:hAnsi="Times New Roman" w:cs="Times New Roman"/>
                <w:lang w:val="mk-MK"/>
              </w:rPr>
              <w:t>е, тестирање, CSIRT, incident response и мониторинг на злоупотреби</w:t>
            </w:r>
          </w:p>
        </w:tc>
      </w:tr>
      <w:tr w:rsidR="00FE200F" w14:paraId="4FC6DCE5" w14:textId="77777777" w:rsidTr="00FE200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349" w:type="dxa"/>
            <w:tcBorders>
              <w:right w:val="nil"/>
            </w:tcBorders>
          </w:tcPr>
          <w:p w14:paraId="4A4489C8" w14:textId="77777777" w:rsidR="00FE200F" w:rsidRDefault="00E77CAF">
            <w:pPr>
              <w:jc w:val="both"/>
              <w:rPr>
                <w:rFonts w:ascii="Times New Roman" w:hAnsi="Times New Roman" w:cs="Times New Roman"/>
                <w:lang w:val="mk-MK"/>
              </w:rPr>
            </w:pPr>
            <w:r>
              <w:rPr>
                <w:rFonts w:ascii="Times New Roman" w:hAnsi="Times New Roman" w:cs="Times New Roman"/>
                <w:color w:val="FFFFFF" w:themeColor="background1"/>
                <w:lang w:val="mk-MK"/>
              </w:rPr>
              <w:t>Политичка нестабилност и дисконтинуитет</w:t>
            </w:r>
          </w:p>
        </w:tc>
        <w:tc>
          <w:tcPr>
            <w:tcW w:w="2248" w:type="dxa"/>
          </w:tcPr>
          <w:p w14:paraId="42668D15"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lang w:val="mk-MK"/>
              </w:rPr>
              <w:t>Средна</w:t>
            </w:r>
          </w:p>
        </w:tc>
        <w:tc>
          <w:tcPr>
            <w:tcW w:w="2257" w:type="dxa"/>
          </w:tcPr>
          <w:p w14:paraId="733F26C8"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lang w:val="mk-MK"/>
              </w:rPr>
              <w:t>Големо</w:t>
            </w:r>
          </w:p>
        </w:tc>
        <w:tc>
          <w:tcPr>
            <w:tcW w:w="2257" w:type="dxa"/>
          </w:tcPr>
          <w:p w14:paraId="58BFC3C9"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lang w:val="mk-MK"/>
              </w:rPr>
              <w:t>Меѓупартиски консензус, вградување во обврските од ЕУ, парламентарен надзор и годишно известување</w:t>
            </w:r>
          </w:p>
        </w:tc>
      </w:tr>
      <w:tr w:rsidR="00FE200F" w14:paraId="12196D66" w14:textId="77777777" w:rsidTr="00FE200F">
        <w:trPr>
          <w:cantSplit/>
        </w:trPr>
        <w:tc>
          <w:tcPr>
            <w:cnfStyle w:val="001000000000" w:firstRow="0" w:lastRow="0" w:firstColumn="1" w:lastColumn="0" w:oddVBand="0" w:evenVBand="0" w:oddHBand="0" w:evenHBand="0" w:firstRowFirstColumn="0" w:firstRowLastColumn="0" w:lastRowFirstColumn="0" w:lastRowLastColumn="0"/>
            <w:tcW w:w="2349" w:type="dxa"/>
            <w:tcBorders>
              <w:right w:val="nil"/>
            </w:tcBorders>
          </w:tcPr>
          <w:p w14:paraId="1B152618" w14:textId="77777777" w:rsidR="00FE200F" w:rsidRDefault="00E77CAF">
            <w:pPr>
              <w:jc w:val="both"/>
              <w:rPr>
                <w:rFonts w:ascii="Times New Roman" w:hAnsi="Times New Roman" w:cs="Times New Roman"/>
                <w:lang w:val="mk-MK"/>
              </w:rPr>
            </w:pPr>
            <w:r>
              <w:rPr>
                <w:rFonts w:ascii="Times New Roman" w:hAnsi="Times New Roman" w:cs="Times New Roman"/>
                <w:color w:val="FFFFFF" w:themeColor="background1"/>
                <w:lang w:val="mk-MK"/>
              </w:rPr>
              <w:t xml:space="preserve">Ниска јавна доверба и отпор кон </w:t>
            </w:r>
            <w:r>
              <w:rPr>
                <w:rFonts w:ascii="Times New Roman" w:hAnsi="Times New Roman" w:cs="Times New Roman"/>
                <w:color w:val="FFFFFF" w:themeColor="background1"/>
                <w:lang w:val="mk-MK"/>
              </w:rPr>
              <w:t>промените</w:t>
            </w:r>
          </w:p>
        </w:tc>
        <w:tc>
          <w:tcPr>
            <w:tcW w:w="2248" w:type="dxa"/>
          </w:tcPr>
          <w:p w14:paraId="15632596"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lang w:val="mk-MK"/>
              </w:rPr>
              <w:t>Средна</w:t>
            </w:r>
          </w:p>
        </w:tc>
        <w:tc>
          <w:tcPr>
            <w:tcW w:w="2257" w:type="dxa"/>
          </w:tcPr>
          <w:p w14:paraId="17A5AE2E"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lang w:val="mk-MK"/>
              </w:rPr>
              <w:t>Средно</w:t>
            </w:r>
          </w:p>
        </w:tc>
        <w:tc>
          <w:tcPr>
            <w:tcW w:w="2257" w:type="dxa"/>
          </w:tcPr>
          <w:p w14:paraId="4A17E783"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lang w:val="mk-MK"/>
              </w:rPr>
              <w:t>Комуникација, транспарентност, јавен регистар, консултации, пилоти со мерливи резултати, обуки и механизми за жалби</w:t>
            </w:r>
          </w:p>
        </w:tc>
      </w:tr>
      <w:tr w:rsidR="00FE200F" w14:paraId="2005BF03" w14:textId="77777777" w:rsidTr="00FE200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349" w:type="dxa"/>
            <w:tcBorders>
              <w:right w:val="nil"/>
            </w:tcBorders>
          </w:tcPr>
          <w:p w14:paraId="7486AF9A" w14:textId="77777777" w:rsidR="00FE200F" w:rsidRDefault="00E77CAF">
            <w:pPr>
              <w:jc w:val="both"/>
              <w:rPr>
                <w:rFonts w:ascii="Times New Roman" w:hAnsi="Times New Roman" w:cs="Times New Roman"/>
                <w:lang w:val="mk-MK"/>
              </w:rPr>
            </w:pPr>
            <w:r>
              <w:rPr>
                <w:rFonts w:ascii="Times New Roman" w:hAnsi="Times New Roman" w:cs="Times New Roman"/>
                <w:color w:val="FFFFFF" w:themeColor="background1"/>
                <w:lang w:val="mk-MK"/>
              </w:rPr>
              <w:t>Недоволно или задоцнето финансирање и слаба апсорпција на фондови</w:t>
            </w:r>
          </w:p>
        </w:tc>
        <w:tc>
          <w:tcPr>
            <w:tcW w:w="2248" w:type="dxa"/>
          </w:tcPr>
          <w:p w14:paraId="6E0BA712"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lang w:val="mk-MK"/>
              </w:rPr>
              <w:t>Средна</w:t>
            </w:r>
          </w:p>
        </w:tc>
        <w:tc>
          <w:tcPr>
            <w:tcW w:w="2257" w:type="dxa"/>
          </w:tcPr>
          <w:p w14:paraId="50154E9B"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lang w:val="mk-MK"/>
              </w:rPr>
              <w:t>Големо</w:t>
            </w:r>
          </w:p>
        </w:tc>
        <w:tc>
          <w:tcPr>
            <w:tcW w:w="2257" w:type="dxa"/>
          </w:tcPr>
          <w:p w14:paraId="5C756DE5"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lang w:val="mk-MK"/>
              </w:rPr>
              <w:t>Фазна имплементација, посветена еди</w:t>
            </w:r>
            <w:r>
              <w:rPr>
                <w:rFonts w:ascii="Times New Roman" w:hAnsi="Times New Roman" w:cs="Times New Roman"/>
                <w:lang w:val="mk-MK"/>
              </w:rPr>
              <w:t>ница за ЕУ проекти, комбинирано финансирање, диверзификација на извори и јасни приоритети</w:t>
            </w:r>
          </w:p>
        </w:tc>
      </w:tr>
      <w:tr w:rsidR="00FE200F" w14:paraId="1154CDAF" w14:textId="77777777" w:rsidTr="00FE200F">
        <w:trPr>
          <w:cantSplit/>
        </w:trPr>
        <w:tc>
          <w:tcPr>
            <w:cnfStyle w:val="001000000000" w:firstRow="0" w:lastRow="0" w:firstColumn="1" w:lastColumn="0" w:oddVBand="0" w:evenVBand="0" w:oddHBand="0" w:evenHBand="0" w:firstRowFirstColumn="0" w:firstRowLastColumn="0" w:lastRowFirstColumn="0" w:lastRowLastColumn="0"/>
            <w:tcW w:w="2349" w:type="dxa"/>
            <w:tcBorders>
              <w:right w:val="nil"/>
            </w:tcBorders>
          </w:tcPr>
          <w:p w14:paraId="177DA13F" w14:textId="77777777" w:rsidR="00FE200F" w:rsidRDefault="00E77CAF">
            <w:pPr>
              <w:jc w:val="both"/>
              <w:rPr>
                <w:rFonts w:ascii="Times New Roman" w:hAnsi="Times New Roman" w:cs="Times New Roman"/>
                <w:lang w:val="mk-MK"/>
              </w:rPr>
            </w:pPr>
            <w:r>
              <w:rPr>
                <w:rFonts w:ascii="Times New Roman" w:hAnsi="Times New Roman" w:cs="Times New Roman"/>
                <w:color w:val="FFFFFF" w:themeColor="background1"/>
                <w:lang w:val="mk-MK"/>
              </w:rPr>
              <w:t>Зависност од Big Tech и губење на дигитален суверенитет</w:t>
            </w:r>
          </w:p>
        </w:tc>
        <w:tc>
          <w:tcPr>
            <w:tcW w:w="2248" w:type="dxa"/>
          </w:tcPr>
          <w:p w14:paraId="499FA87B"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lang w:val="mk-MK"/>
              </w:rPr>
              <w:t>Висока</w:t>
            </w:r>
          </w:p>
        </w:tc>
        <w:tc>
          <w:tcPr>
            <w:tcW w:w="2257" w:type="dxa"/>
          </w:tcPr>
          <w:p w14:paraId="0D0F522D"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lang w:val="mk-MK"/>
              </w:rPr>
              <w:t>Средно</w:t>
            </w:r>
          </w:p>
        </w:tc>
        <w:tc>
          <w:tcPr>
            <w:tcW w:w="2257" w:type="dxa"/>
          </w:tcPr>
          <w:p w14:paraId="1FD03382"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lang w:val="mk-MK"/>
              </w:rPr>
              <w:t xml:space="preserve">Отворен код и стандарди, преносливост на податоци, избегнување vendor lock-in, регионален HPC </w:t>
            </w:r>
            <w:r>
              <w:rPr>
                <w:rFonts w:ascii="Times New Roman" w:hAnsi="Times New Roman" w:cs="Times New Roman"/>
                <w:lang w:val="mk-MK"/>
              </w:rPr>
              <w:t>конзорциум и EU Cloud правила</w:t>
            </w:r>
          </w:p>
        </w:tc>
      </w:tr>
      <w:tr w:rsidR="00FE200F" w14:paraId="40AA6899" w14:textId="77777777" w:rsidTr="00FE200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349" w:type="dxa"/>
            <w:tcBorders>
              <w:right w:val="nil"/>
            </w:tcBorders>
          </w:tcPr>
          <w:p w14:paraId="7D6362AD" w14:textId="77777777" w:rsidR="00FE200F" w:rsidRDefault="00E77CAF">
            <w:pPr>
              <w:jc w:val="both"/>
              <w:rPr>
                <w:rFonts w:ascii="Times New Roman" w:hAnsi="Times New Roman" w:cs="Times New Roman"/>
                <w:lang w:val="mk-MK"/>
              </w:rPr>
            </w:pPr>
            <w:r>
              <w:rPr>
                <w:rFonts w:ascii="Times New Roman" w:hAnsi="Times New Roman" w:cs="Times New Roman"/>
                <w:color w:val="FFFFFF" w:themeColor="background1"/>
                <w:lang w:val="mk-MK"/>
              </w:rPr>
              <w:lastRenderedPageBreak/>
              <w:t>Брзи технолошки промени и застарување на Стратегијата</w:t>
            </w:r>
          </w:p>
        </w:tc>
        <w:tc>
          <w:tcPr>
            <w:tcW w:w="2248" w:type="dxa"/>
          </w:tcPr>
          <w:p w14:paraId="68CD7836"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lang w:val="mk-MK"/>
              </w:rPr>
              <w:t>Висока</w:t>
            </w:r>
          </w:p>
        </w:tc>
        <w:tc>
          <w:tcPr>
            <w:tcW w:w="2257" w:type="dxa"/>
          </w:tcPr>
          <w:p w14:paraId="2D89A914"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lang w:val="mk-MK"/>
              </w:rPr>
              <w:t>Средно</w:t>
            </w:r>
          </w:p>
        </w:tc>
        <w:tc>
          <w:tcPr>
            <w:tcW w:w="2257" w:type="dxa"/>
          </w:tcPr>
          <w:p w14:paraId="1528289A"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lang w:val="mk-MK"/>
              </w:rPr>
              <w:t>Принципиелен наместо технолошки специфичен пристап, хоризонтско скенирање и годишно ажурирање на Акцискиот план</w:t>
            </w:r>
          </w:p>
        </w:tc>
      </w:tr>
      <w:tr w:rsidR="00FE200F" w14:paraId="3AFA9C8E" w14:textId="77777777" w:rsidTr="00FE200F">
        <w:trPr>
          <w:cantSplit/>
        </w:trPr>
        <w:tc>
          <w:tcPr>
            <w:cnfStyle w:val="001000000000" w:firstRow="0" w:lastRow="0" w:firstColumn="1" w:lastColumn="0" w:oddVBand="0" w:evenVBand="0" w:oddHBand="0" w:evenHBand="0" w:firstRowFirstColumn="0" w:firstRowLastColumn="0" w:lastRowFirstColumn="0" w:lastRowLastColumn="0"/>
            <w:tcW w:w="2349" w:type="dxa"/>
            <w:tcBorders>
              <w:right w:val="nil"/>
            </w:tcBorders>
          </w:tcPr>
          <w:p w14:paraId="647B8873" w14:textId="77777777" w:rsidR="00FE200F" w:rsidRDefault="00E77CAF">
            <w:pPr>
              <w:jc w:val="both"/>
              <w:rPr>
                <w:rFonts w:ascii="Times New Roman" w:hAnsi="Times New Roman" w:cs="Times New Roman"/>
                <w:lang w:val="mk-MK"/>
              </w:rPr>
            </w:pPr>
            <w:r>
              <w:rPr>
                <w:rFonts w:ascii="Times New Roman" w:hAnsi="Times New Roman" w:cs="Times New Roman"/>
                <w:color w:val="FFFFFF" w:themeColor="background1"/>
                <w:lang w:val="mk-MK"/>
              </w:rPr>
              <w:t xml:space="preserve">Неефикасна имплементација, координација и </w:t>
            </w:r>
            <w:r>
              <w:rPr>
                <w:rFonts w:ascii="Times New Roman" w:hAnsi="Times New Roman" w:cs="Times New Roman"/>
                <w:color w:val="FFFFFF" w:themeColor="background1"/>
                <w:lang w:val="mk-MK"/>
              </w:rPr>
              <w:t>јавни набавки</w:t>
            </w:r>
          </w:p>
        </w:tc>
        <w:tc>
          <w:tcPr>
            <w:tcW w:w="2248" w:type="dxa"/>
          </w:tcPr>
          <w:p w14:paraId="722E9FEE"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lang w:val="mk-MK"/>
              </w:rPr>
              <w:t>Средна</w:t>
            </w:r>
          </w:p>
        </w:tc>
        <w:tc>
          <w:tcPr>
            <w:tcW w:w="2257" w:type="dxa"/>
          </w:tcPr>
          <w:p w14:paraId="01BA6CD8"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lang w:val="mk-MK"/>
              </w:rPr>
              <w:t>Големо</w:t>
            </w:r>
          </w:p>
        </w:tc>
        <w:tc>
          <w:tcPr>
            <w:tcW w:w="2257" w:type="dxa"/>
          </w:tcPr>
          <w:p w14:paraId="67EE45DA"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lang w:val="mk-MK"/>
              </w:rPr>
              <w:t>Јасни носители, контролни точки, следење на придобивките, транспарентни набавки, независна евалуација и корективни мерки</w:t>
            </w:r>
          </w:p>
        </w:tc>
      </w:tr>
      <w:tr w:rsidR="00FE200F" w14:paraId="4E487A7A" w14:textId="77777777" w:rsidTr="00FE200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349" w:type="dxa"/>
            <w:tcBorders>
              <w:right w:val="nil"/>
            </w:tcBorders>
          </w:tcPr>
          <w:p w14:paraId="3B54D4B2" w14:textId="77777777" w:rsidR="00FE200F" w:rsidRDefault="00E77CAF">
            <w:pPr>
              <w:jc w:val="both"/>
              <w:rPr>
                <w:rFonts w:ascii="Times New Roman" w:hAnsi="Times New Roman" w:cs="Times New Roman"/>
                <w:lang w:val="mk-MK"/>
              </w:rPr>
            </w:pPr>
            <w:r>
              <w:rPr>
                <w:rFonts w:ascii="Times New Roman" w:hAnsi="Times New Roman" w:cs="Times New Roman"/>
                <w:color w:val="FFFFFF" w:themeColor="background1"/>
                <w:lang w:val="mk-MK"/>
              </w:rPr>
              <w:t>Дигитален јаз, ниска ВИ писменост и нееднаква пристапност</w:t>
            </w:r>
          </w:p>
        </w:tc>
        <w:tc>
          <w:tcPr>
            <w:tcW w:w="2248" w:type="dxa"/>
          </w:tcPr>
          <w:p w14:paraId="407073BA"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lang w:val="mk-MK"/>
              </w:rPr>
              <w:t>Средна</w:t>
            </w:r>
          </w:p>
        </w:tc>
        <w:tc>
          <w:tcPr>
            <w:tcW w:w="2257" w:type="dxa"/>
          </w:tcPr>
          <w:p w14:paraId="35146FDA"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lang w:val="mk-MK"/>
              </w:rPr>
              <w:t>Средно</w:t>
            </w:r>
          </w:p>
        </w:tc>
        <w:tc>
          <w:tcPr>
            <w:tcW w:w="2257" w:type="dxa"/>
          </w:tcPr>
          <w:p w14:paraId="6C13CA65"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lang w:val="mk-MK"/>
              </w:rPr>
              <w:t>Инклузивен дизајн, пристапност, пр</w:t>
            </w:r>
            <w:r>
              <w:rPr>
                <w:rFonts w:ascii="Times New Roman" w:hAnsi="Times New Roman" w:cs="Times New Roman"/>
                <w:lang w:val="mk-MK"/>
              </w:rPr>
              <w:t>ограми за ВИ писменост, регионална поддршка и достапни неавтоматизирани алтернативи</w:t>
            </w:r>
          </w:p>
        </w:tc>
      </w:tr>
      <w:tr w:rsidR="00FE200F" w14:paraId="4136D503" w14:textId="77777777" w:rsidTr="00FE200F">
        <w:trPr>
          <w:cantSplit/>
        </w:trPr>
        <w:tc>
          <w:tcPr>
            <w:cnfStyle w:val="001000000000" w:firstRow="0" w:lastRow="0" w:firstColumn="1" w:lastColumn="0" w:oddVBand="0" w:evenVBand="0" w:oddHBand="0" w:evenHBand="0" w:firstRowFirstColumn="0" w:firstRowLastColumn="0" w:lastRowFirstColumn="0" w:lastRowLastColumn="0"/>
            <w:tcW w:w="2349" w:type="dxa"/>
            <w:tcBorders>
              <w:right w:val="nil"/>
            </w:tcBorders>
          </w:tcPr>
          <w:p w14:paraId="4D8F88D7" w14:textId="77777777" w:rsidR="00FE200F" w:rsidRDefault="00E77CAF">
            <w:pPr>
              <w:jc w:val="both"/>
              <w:rPr>
                <w:rFonts w:ascii="Times New Roman" w:hAnsi="Times New Roman" w:cs="Times New Roman"/>
                <w:lang w:val="mk-MK"/>
              </w:rPr>
            </w:pPr>
            <w:r>
              <w:rPr>
                <w:rFonts w:ascii="Times New Roman" w:hAnsi="Times New Roman" w:cs="Times New Roman"/>
                <w:color w:val="FFFFFF" w:themeColor="background1"/>
                <w:lang w:val="mk-MK"/>
              </w:rPr>
              <w:t>Автоматизација, структурна невработеност и неусогласеност на вештините</w:t>
            </w:r>
          </w:p>
        </w:tc>
        <w:tc>
          <w:tcPr>
            <w:tcW w:w="2248" w:type="dxa"/>
          </w:tcPr>
          <w:p w14:paraId="168176E0"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lang w:val="mk-MK"/>
              </w:rPr>
              <w:t>Средна</w:t>
            </w:r>
          </w:p>
        </w:tc>
        <w:tc>
          <w:tcPr>
            <w:tcW w:w="2257" w:type="dxa"/>
          </w:tcPr>
          <w:p w14:paraId="7FBA2FE2"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lang w:val="mk-MK"/>
              </w:rPr>
              <w:t>Големо</w:t>
            </w:r>
          </w:p>
        </w:tc>
        <w:tc>
          <w:tcPr>
            <w:tcW w:w="2257" w:type="dxa"/>
          </w:tcPr>
          <w:p w14:paraId="24CC005E" w14:textId="77777777" w:rsidR="00FE200F" w:rsidRDefault="00E77CA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mk-MK"/>
              </w:rPr>
            </w:pPr>
            <w:r>
              <w:rPr>
                <w:rFonts w:ascii="Times New Roman" w:hAnsi="Times New Roman" w:cs="Times New Roman"/>
                <w:lang w:val="mk-MK"/>
              </w:rPr>
              <w:t xml:space="preserve">Преквалификација и доживотно учење, следење на пазарот на труд, социјален дијалог и </w:t>
            </w:r>
            <w:r>
              <w:rPr>
                <w:rFonts w:ascii="Times New Roman" w:hAnsi="Times New Roman" w:cs="Times New Roman"/>
                <w:lang w:val="mk-MK"/>
              </w:rPr>
              <w:t>поддршка за транзиција</w:t>
            </w:r>
          </w:p>
        </w:tc>
      </w:tr>
      <w:tr w:rsidR="00FE200F" w14:paraId="0EE441CD" w14:textId="77777777" w:rsidTr="00FE200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349" w:type="dxa"/>
            <w:tcBorders>
              <w:right w:val="nil"/>
            </w:tcBorders>
          </w:tcPr>
          <w:p w14:paraId="6F96BD23" w14:textId="77777777" w:rsidR="00FE200F" w:rsidRDefault="00E77CAF">
            <w:pPr>
              <w:jc w:val="both"/>
              <w:rPr>
                <w:rFonts w:ascii="Times New Roman" w:hAnsi="Times New Roman" w:cs="Times New Roman"/>
                <w:lang w:val="mk-MK"/>
              </w:rPr>
            </w:pPr>
            <w:r>
              <w:rPr>
                <w:rFonts w:ascii="Times New Roman" w:hAnsi="Times New Roman" w:cs="Times New Roman"/>
                <w:color w:val="FFFFFF" w:themeColor="background1"/>
                <w:lang w:val="mk-MK"/>
              </w:rPr>
              <w:t>Енергетска и еколошка неодржливост на ВИ инфраструктурата</w:t>
            </w:r>
          </w:p>
        </w:tc>
        <w:tc>
          <w:tcPr>
            <w:tcW w:w="2248" w:type="dxa"/>
          </w:tcPr>
          <w:p w14:paraId="04E2DAE2"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lang w:val="mk-MK"/>
              </w:rPr>
              <w:t>Средна</w:t>
            </w:r>
          </w:p>
        </w:tc>
        <w:tc>
          <w:tcPr>
            <w:tcW w:w="2257" w:type="dxa"/>
          </w:tcPr>
          <w:p w14:paraId="0DF3CAA0"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lang w:val="mk-MK"/>
              </w:rPr>
              <w:t>Средно</w:t>
            </w:r>
          </w:p>
        </w:tc>
        <w:tc>
          <w:tcPr>
            <w:tcW w:w="2257" w:type="dxa"/>
          </w:tcPr>
          <w:p w14:paraId="5CB10A48" w14:textId="77777777" w:rsidR="00FE200F" w:rsidRDefault="00E77CA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mk-MK"/>
              </w:rPr>
            </w:pPr>
            <w:r>
              <w:rPr>
                <w:rFonts w:ascii="Times New Roman" w:hAnsi="Times New Roman" w:cs="Times New Roman"/>
                <w:lang w:val="mk-MK"/>
              </w:rPr>
              <w:t>Енергетски ефикасна инфраструктура, обновливи извори, критериуми за зелени ИКТ и планови за компензација на јаглеродниот отпечаток</w:t>
            </w:r>
          </w:p>
        </w:tc>
      </w:tr>
    </w:tbl>
    <w:p w14:paraId="65BD208D" w14:textId="77777777" w:rsidR="00FE200F" w:rsidRDefault="00E77CAF">
      <w:pPr>
        <w:pStyle w:val="Heading2"/>
        <w:spacing w:before="0"/>
        <w:jc w:val="center"/>
        <w:rPr>
          <w:rFonts w:ascii="Times New Roman" w:hAnsi="Times New Roman" w:cs="Times New Roman"/>
          <w:lang w:val="mk-MK"/>
        </w:rPr>
      </w:pPr>
      <w:r>
        <w:br w:type="page"/>
      </w:r>
      <w:bookmarkStart w:id="175" w:name="_Toc240630113"/>
      <w:bookmarkStart w:id="176" w:name="_Toc243908056"/>
      <w:r>
        <w:rPr>
          <w:rFonts w:ascii="Times New Roman" w:hAnsi="Times New Roman" w:cs="Times New Roman"/>
          <w:color w:val="auto"/>
          <w:sz w:val="22"/>
          <w:szCs w:val="22"/>
          <w:lang w:val="mk-MK"/>
        </w:rPr>
        <w:lastRenderedPageBreak/>
        <w:t>СПИСОК НА РЕФЕРЕНЦИ</w:t>
      </w:r>
      <w:bookmarkEnd w:id="175"/>
      <w:bookmarkEnd w:id="176"/>
    </w:p>
    <w:p w14:paraId="23969B37" w14:textId="77777777" w:rsidR="00FE200F" w:rsidRDefault="00E77CAF">
      <w:pPr>
        <w:pStyle w:val="ListNumber"/>
        <w:numPr>
          <w:ilvl w:val="0"/>
          <w:numId w:val="16"/>
        </w:numPr>
        <w:rPr>
          <w:rFonts w:ascii="Times New Roman" w:hAnsi="Times New Roman" w:cs="Times New Roman"/>
          <w:lang w:val="mk-MK"/>
        </w:rPr>
      </w:pPr>
      <w:r>
        <w:rPr>
          <w:rFonts w:ascii="Times New Roman" w:hAnsi="Times New Roman" w:cs="Times New Roman"/>
          <w:lang w:val="mk-MK"/>
        </w:rPr>
        <w:t xml:space="preserve">Brown, </w:t>
      </w:r>
      <w:r>
        <w:rPr>
          <w:rFonts w:ascii="Times New Roman" w:hAnsi="Times New Roman" w:cs="Times New Roman"/>
          <w:lang w:val="mk-MK"/>
        </w:rPr>
        <w:t xml:space="preserve">A. (2025). </w:t>
      </w:r>
      <w:r>
        <w:rPr>
          <w:rFonts w:ascii="Times New Roman" w:hAnsi="Times New Roman" w:cs="Times New Roman"/>
          <w:i/>
          <w:lang w:val="mk-MK"/>
        </w:rPr>
        <w:t>Aligning North Macedonia's AI Policy with the EU: Bridging the Regulatory Gap</w:t>
      </w:r>
      <w:r>
        <w:rPr>
          <w:rFonts w:ascii="Times New Roman" w:hAnsi="Times New Roman" w:cs="Times New Roman"/>
          <w:lang w:val="mk-MK"/>
        </w:rPr>
        <w:t>. Economic Policy Institute (EPI).</w:t>
      </w:r>
    </w:p>
    <w:p w14:paraId="63CD4639" w14:textId="77777777" w:rsidR="00FE200F" w:rsidRDefault="00E77CAF">
      <w:pPr>
        <w:pStyle w:val="ListNumber"/>
        <w:numPr>
          <w:ilvl w:val="0"/>
          <w:numId w:val="16"/>
        </w:numPr>
        <w:rPr>
          <w:rFonts w:ascii="Times New Roman" w:hAnsi="Times New Roman" w:cs="Times New Roman"/>
          <w:lang w:val="mk-MK"/>
        </w:rPr>
      </w:pPr>
      <w:r>
        <w:rPr>
          <w:rFonts w:ascii="Times New Roman" w:hAnsi="Times New Roman" w:cs="Times New Roman"/>
          <w:lang w:val="mk-MK"/>
        </w:rPr>
        <w:t xml:space="preserve">Европска комисија. (2025). </w:t>
      </w:r>
      <w:r>
        <w:rPr>
          <w:rFonts w:ascii="Times New Roman" w:hAnsi="Times New Roman" w:cs="Times New Roman"/>
          <w:i/>
          <w:lang w:val="mk-MK"/>
        </w:rPr>
        <w:t>Извештај за напредокот на Северна Македонија за 2025 година</w:t>
      </w:r>
      <w:r>
        <w:rPr>
          <w:rFonts w:ascii="Times New Roman" w:hAnsi="Times New Roman" w:cs="Times New Roman"/>
          <w:lang w:val="mk-MK"/>
        </w:rPr>
        <w:t>. Брисел: Европска комисија.</w:t>
      </w:r>
    </w:p>
    <w:p w14:paraId="550BF037" w14:textId="77777777" w:rsidR="00FE200F" w:rsidRDefault="00E77CAF">
      <w:pPr>
        <w:pStyle w:val="ListNumber"/>
        <w:numPr>
          <w:ilvl w:val="0"/>
          <w:numId w:val="16"/>
        </w:numPr>
        <w:rPr>
          <w:rFonts w:ascii="Times New Roman" w:hAnsi="Times New Roman" w:cs="Times New Roman"/>
          <w:lang w:val="mk-MK"/>
        </w:rPr>
      </w:pPr>
      <w:r>
        <w:rPr>
          <w:rFonts w:ascii="Times New Roman" w:hAnsi="Times New Roman" w:cs="Times New Roman"/>
          <w:lang w:val="mk-MK"/>
        </w:rPr>
        <w:t>Министерство за ди</w:t>
      </w:r>
      <w:r>
        <w:rPr>
          <w:rFonts w:ascii="Times New Roman" w:hAnsi="Times New Roman" w:cs="Times New Roman"/>
          <w:lang w:val="mk-MK"/>
        </w:rPr>
        <w:t xml:space="preserve">гитална трансформација. (2024). </w:t>
      </w:r>
      <w:r>
        <w:rPr>
          <w:rFonts w:ascii="Times New Roman" w:hAnsi="Times New Roman" w:cs="Times New Roman"/>
          <w:i/>
          <w:lang w:val="mk-MK"/>
        </w:rPr>
        <w:t>СМАРТ/МК 2030 – Национална ИКТ стратегија</w:t>
      </w:r>
      <w:r>
        <w:rPr>
          <w:rFonts w:ascii="Times New Roman" w:hAnsi="Times New Roman" w:cs="Times New Roman"/>
          <w:lang w:val="mk-MK"/>
        </w:rPr>
        <w:t>. Скопје: Влада на Република Северна Македонија.</w:t>
      </w:r>
    </w:p>
    <w:p w14:paraId="460B6351" w14:textId="77777777" w:rsidR="00FE200F" w:rsidRDefault="00E77CAF">
      <w:pPr>
        <w:pStyle w:val="ListNumber"/>
        <w:numPr>
          <w:ilvl w:val="0"/>
          <w:numId w:val="16"/>
        </w:numPr>
        <w:rPr>
          <w:rFonts w:ascii="Times New Roman" w:hAnsi="Times New Roman" w:cs="Times New Roman"/>
          <w:lang w:val="mk-MK"/>
        </w:rPr>
      </w:pPr>
      <w:r>
        <w:rPr>
          <w:rFonts w:ascii="Times New Roman" w:hAnsi="Times New Roman" w:cs="Times New Roman"/>
          <w:lang w:val="mk-MK"/>
        </w:rPr>
        <w:t xml:space="preserve">Министерство за информатичко општество и администрација. (2025). </w:t>
      </w:r>
      <w:r>
        <w:rPr>
          <w:rFonts w:ascii="Times New Roman" w:hAnsi="Times New Roman" w:cs="Times New Roman"/>
          <w:i/>
          <w:lang w:val="mk-MK"/>
        </w:rPr>
        <w:t xml:space="preserve">Стратегија за сајбер безбедност на Република Северна Македонија </w:t>
      </w:r>
      <w:r>
        <w:rPr>
          <w:rFonts w:ascii="Times New Roman" w:hAnsi="Times New Roman" w:cs="Times New Roman"/>
          <w:i/>
          <w:lang w:val="mk-MK"/>
        </w:rPr>
        <w:t>2025–2028</w:t>
      </w:r>
      <w:r>
        <w:rPr>
          <w:rFonts w:ascii="Times New Roman" w:hAnsi="Times New Roman" w:cs="Times New Roman"/>
          <w:lang w:val="mk-MK"/>
        </w:rPr>
        <w:t>. Скопје: Влада на Република Северна Македонија.</w:t>
      </w:r>
    </w:p>
    <w:p w14:paraId="3DEE0580" w14:textId="77777777" w:rsidR="00FE200F" w:rsidRDefault="00E77CAF">
      <w:pPr>
        <w:pStyle w:val="ListNumber"/>
        <w:numPr>
          <w:ilvl w:val="0"/>
          <w:numId w:val="16"/>
        </w:numPr>
        <w:rPr>
          <w:rFonts w:ascii="Times New Roman" w:hAnsi="Times New Roman" w:cs="Times New Roman"/>
          <w:lang w:val="mk-MK"/>
        </w:rPr>
      </w:pPr>
      <w:r>
        <w:rPr>
          <w:rFonts w:ascii="Times New Roman" w:hAnsi="Times New Roman" w:cs="Times New Roman"/>
          <w:lang w:val="mk-MK"/>
        </w:rPr>
        <w:t xml:space="preserve">Министерство за образование и наука. (2024). </w:t>
      </w:r>
      <w:r>
        <w:rPr>
          <w:rFonts w:ascii="Times New Roman" w:hAnsi="Times New Roman" w:cs="Times New Roman"/>
          <w:i/>
          <w:lang w:val="mk-MK"/>
        </w:rPr>
        <w:t>Стратегија за паметна специјализација на Република Северна Македонија 2024–2027</w:t>
      </w:r>
      <w:r>
        <w:rPr>
          <w:rFonts w:ascii="Times New Roman" w:hAnsi="Times New Roman" w:cs="Times New Roman"/>
          <w:lang w:val="mk-MK"/>
        </w:rPr>
        <w:t>. Скопје: Влада на Република Северна Македонија.</w:t>
      </w:r>
    </w:p>
    <w:p w14:paraId="6F55C8A1" w14:textId="77777777" w:rsidR="00FE200F" w:rsidRDefault="00E77CAF">
      <w:pPr>
        <w:pStyle w:val="ListNumber"/>
        <w:numPr>
          <w:ilvl w:val="0"/>
          <w:numId w:val="16"/>
        </w:numPr>
        <w:rPr>
          <w:rFonts w:ascii="Times New Roman" w:hAnsi="Times New Roman" w:cs="Times New Roman"/>
          <w:lang w:val="mk-MK"/>
        </w:rPr>
      </w:pPr>
      <w:r>
        <w:rPr>
          <w:rFonts w:ascii="Times New Roman" w:hAnsi="Times New Roman" w:cs="Times New Roman"/>
          <w:lang w:val="mk-MK"/>
        </w:rPr>
        <w:t xml:space="preserve">Собрание на Република Северна Македонија. (2024). </w:t>
      </w:r>
      <w:r>
        <w:rPr>
          <w:rFonts w:ascii="Times New Roman" w:hAnsi="Times New Roman" w:cs="Times New Roman"/>
          <w:i/>
          <w:lang w:val="mk-MK"/>
        </w:rPr>
        <w:t>Национална развојна стратегија 2024–2044</w:t>
      </w:r>
      <w:r>
        <w:rPr>
          <w:rFonts w:ascii="Times New Roman" w:hAnsi="Times New Roman" w:cs="Times New Roman"/>
          <w:lang w:val="mk-MK"/>
        </w:rPr>
        <w:t>. Скопје: Собрание на РСМ.</w:t>
      </w:r>
    </w:p>
    <w:p w14:paraId="48FEAD1E" w14:textId="77777777" w:rsidR="00FE200F" w:rsidRDefault="00E77CAF">
      <w:pPr>
        <w:pStyle w:val="ListNumber"/>
        <w:numPr>
          <w:ilvl w:val="0"/>
          <w:numId w:val="16"/>
        </w:numPr>
        <w:rPr>
          <w:rFonts w:ascii="Times New Roman" w:hAnsi="Times New Roman" w:cs="Times New Roman"/>
          <w:lang w:val="mk-MK"/>
        </w:rPr>
      </w:pPr>
      <w:r>
        <w:rPr>
          <w:rFonts w:ascii="Times New Roman" w:hAnsi="Times New Roman" w:cs="Times New Roman"/>
          <w:lang w:val="mk-MK"/>
        </w:rPr>
        <w:t xml:space="preserve">Ѓорески, М. (2026). </w:t>
      </w:r>
      <w:r>
        <w:rPr>
          <w:rFonts w:ascii="Times New Roman" w:hAnsi="Times New Roman" w:cs="Times New Roman"/>
          <w:i/>
          <w:lang w:val="mk-MK"/>
        </w:rPr>
        <w:t>Записник од првиот состанок на работната група за Стратегија за ВИ</w:t>
      </w:r>
      <w:r>
        <w:rPr>
          <w:rFonts w:ascii="Times New Roman" w:hAnsi="Times New Roman" w:cs="Times New Roman"/>
          <w:lang w:val="mk-MK"/>
        </w:rPr>
        <w:t>. Скопје: Министерство за дигитална трансформација.</w:t>
      </w:r>
    </w:p>
    <w:p w14:paraId="6D442FA3" w14:textId="77777777" w:rsidR="00FE200F" w:rsidRDefault="00E77CAF">
      <w:pPr>
        <w:pStyle w:val="ListNumber"/>
        <w:numPr>
          <w:ilvl w:val="0"/>
          <w:numId w:val="16"/>
        </w:numPr>
        <w:rPr>
          <w:rFonts w:ascii="Times New Roman" w:hAnsi="Times New Roman" w:cs="Times New Roman"/>
          <w:lang w:val="mk-MK"/>
        </w:rPr>
      </w:pPr>
      <w:r>
        <w:rPr>
          <w:rFonts w:ascii="Times New Roman" w:hAnsi="Times New Roman" w:cs="Times New Roman"/>
          <w:lang w:val="mk-MK"/>
        </w:rPr>
        <w:t>E</w:t>
      </w:r>
      <w:r>
        <w:rPr>
          <w:rFonts w:ascii="Times New Roman" w:hAnsi="Times New Roman" w:cs="Times New Roman"/>
          <w:lang w:val="mk-MK"/>
        </w:rPr>
        <w:t xml:space="preserve">uropean Parliament and Council. (2024). </w:t>
      </w:r>
      <w:r>
        <w:rPr>
          <w:rFonts w:ascii="Times New Roman" w:hAnsi="Times New Roman" w:cs="Times New Roman"/>
          <w:i/>
          <w:lang w:val="mk-MK"/>
        </w:rPr>
        <w:t>Regulation (EU) 2024/1689 laying down harmonised rules on artificial intelligence (Artificial Intelligence Act)</w:t>
      </w:r>
      <w:r>
        <w:rPr>
          <w:rFonts w:ascii="Times New Roman" w:hAnsi="Times New Roman" w:cs="Times New Roman"/>
          <w:lang w:val="mk-MK"/>
        </w:rPr>
        <w:t>. Official Journal of the European Union.</w:t>
      </w:r>
    </w:p>
    <w:p w14:paraId="6BE474F3" w14:textId="77777777" w:rsidR="00FE200F" w:rsidRDefault="00E77CAF">
      <w:pPr>
        <w:pStyle w:val="ListNumber"/>
        <w:numPr>
          <w:ilvl w:val="0"/>
          <w:numId w:val="16"/>
        </w:numPr>
        <w:rPr>
          <w:rFonts w:ascii="Times New Roman" w:hAnsi="Times New Roman" w:cs="Times New Roman"/>
          <w:lang w:val="mk-MK"/>
        </w:rPr>
      </w:pPr>
      <w:r>
        <w:rPr>
          <w:rFonts w:ascii="Times New Roman" w:hAnsi="Times New Roman" w:cs="Times New Roman"/>
          <w:lang w:val="mk-MK"/>
        </w:rPr>
        <w:t>Council of Europe. (2024). Framework Convention on Artificial I</w:t>
      </w:r>
      <w:r>
        <w:rPr>
          <w:rFonts w:ascii="Times New Roman" w:hAnsi="Times New Roman" w:cs="Times New Roman"/>
          <w:lang w:val="mk-MK"/>
        </w:rPr>
        <w:t>ntelligence and Human Rights, Democracy and the Rule of Law (CETS No. 225). Official Treaty Office status: Republic of North Macedonia signed on 8 May 2026; ratification status to be verified at the time of adoption.</w:t>
      </w:r>
    </w:p>
    <w:p w14:paraId="36678E55" w14:textId="77777777" w:rsidR="00FE200F" w:rsidRDefault="00E77CAF">
      <w:pPr>
        <w:pStyle w:val="ListNumber"/>
        <w:numPr>
          <w:ilvl w:val="0"/>
          <w:numId w:val="16"/>
        </w:numPr>
        <w:rPr>
          <w:rFonts w:ascii="Times New Roman" w:hAnsi="Times New Roman" w:cs="Times New Roman"/>
          <w:lang w:val="mk-MK"/>
        </w:rPr>
      </w:pPr>
      <w:r>
        <w:rPr>
          <w:rFonts w:ascii="Times New Roman" w:hAnsi="Times New Roman" w:cs="Times New Roman"/>
          <w:lang w:val="mk-MK"/>
        </w:rPr>
        <w:t xml:space="preserve">OECD. (2024). </w:t>
      </w:r>
      <w:r>
        <w:rPr>
          <w:rFonts w:ascii="Times New Roman" w:hAnsi="Times New Roman" w:cs="Times New Roman"/>
          <w:i/>
          <w:lang w:val="mk-MK"/>
        </w:rPr>
        <w:t>OECD AI Principles overvi</w:t>
      </w:r>
      <w:r>
        <w:rPr>
          <w:rFonts w:ascii="Times New Roman" w:hAnsi="Times New Roman" w:cs="Times New Roman"/>
          <w:i/>
          <w:lang w:val="mk-MK"/>
        </w:rPr>
        <w:t>ew</w:t>
      </w:r>
      <w:r>
        <w:rPr>
          <w:rFonts w:ascii="Times New Roman" w:hAnsi="Times New Roman" w:cs="Times New Roman"/>
          <w:lang w:val="mk-MK"/>
        </w:rPr>
        <w:t>. Paris: OECD Publishing.</w:t>
      </w:r>
    </w:p>
    <w:p w14:paraId="3DCC16B1" w14:textId="77777777" w:rsidR="00FE200F" w:rsidRDefault="00E77CAF">
      <w:pPr>
        <w:pStyle w:val="ListNumber"/>
        <w:numPr>
          <w:ilvl w:val="0"/>
          <w:numId w:val="16"/>
        </w:numPr>
        <w:rPr>
          <w:rFonts w:ascii="Times New Roman" w:hAnsi="Times New Roman" w:cs="Times New Roman"/>
          <w:lang w:val="mk-MK"/>
        </w:rPr>
      </w:pPr>
      <w:r>
        <w:rPr>
          <w:rFonts w:ascii="Times New Roman" w:hAnsi="Times New Roman" w:cs="Times New Roman"/>
          <w:lang w:val="mk-MK"/>
        </w:rPr>
        <w:t xml:space="preserve">UNESCO. (2021). </w:t>
      </w:r>
      <w:r>
        <w:rPr>
          <w:rFonts w:ascii="Times New Roman" w:hAnsi="Times New Roman" w:cs="Times New Roman"/>
          <w:i/>
          <w:lang w:val="mk-MK"/>
        </w:rPr>
        <w:t>Recommendation on the Ethics of Artificial Intelligence</w:t>
      </w:r>
      <w:r>
        <w:rPr>
          <w:rFonts w:ascii="Times New Roman" w:hAnsi="Times New Roman" w:cs="Times New Roman"/>
          <w:lang w:val="mk-MK"/>
        </w:rPr>
        <w:t>. Paris: UNESCO.</w:t>
      </w:r>
    </w:p>
    <w:p w14:paraId="598F4689" w14:textId="77777777" w:rsidR="00FE200F" w:rsidRDefault="00E77CAF">
      <w:pPr>
        <w:pStyle w:val="ListNumber"/>
        <w:numPr>
          <w:ilvl w:val="0"/>
          <w:numId w:val="16"/>
        </w:numPr>
        <w:rPr>
          <w:rFonts w:ascii="Times New Roman" w:hAnsi="Times New Roman" w:cs="Times New Roman"/>
          <w:lang w:val="mk-MK"/>
        </w:rPr>
      </w:pPr>
      <w:r>
        <w:rPr>
          <w:rFonts w:ascii="Times New Roman" w:hAnsi="Times New Roman" w:cs="Times New Roman"/>
          <w:lang w:val="mk-MK"/>
        </w:rPr>
        <w:t xml:space="preserve">Влада на Република Србија. (2019). </w:t>
      </w:r>
      <w:r>
        <w:rPr>
          <w:rFonts w:ascii="Times New Roman" w:hAnsi="Times New Roman" w:cs="Times New Roman"/>
          <w:i/>
          <w:lang w:val="mk-MK"/>
        </w:rPr>
        <w:t>Стратегија за развој на вештачка интелигенција во Република Србија за периодот 2020-2025</w:t>
      </w:r>
      <w:r>
        <w:rPr>
          <w:rFonts w:ascii="Times New Roman" w:hAnsi="Times New Roman" w:cs="Times New Roman"/>
          <w:lang w:val="mk-MK"/>
        </w:rPr>
        <w:t>. Белград: Службе</w:t>
      </w:r>
      <w:r>
        <w:rPr>
          <w:rFonts w:ascii="Times New Roman" w:hAnsi="Times New Roman" w:cs="Times New Roman"/>
          <w:lang w:val="mk-MK"/>
        </w:rPr>
        <w:t>н гласник на РС.</w:t>
      </w:r>
    </w:p>
    <w:p w14:paraId="6891E57C" w14:textId="77777777" w:rsidR="00FE200F" w:rsidRDefault="00E77CAF">
      <w:pPr>
        <w:pStyle w:val="ListNumber"/>
        <w:numPr>
          <w:ilvl w:val="0"/>
          <w:numId w:val="16"/>
        </w:numPr>
        <w:rPr>
          <w:rFonts w:ascii="Times New Roman" w:hAnsi="Times New Roman" w:cs="Times New Roman"/>
          <w:lang w:val="mk-MK"/>
        </w:rPr>
      </w:pPr>
      <w:r>
        <w:rPr>
          <w:rFonts w:ascii="Times New Roman" w:hAnsi="Times New Roman" w:cs="Times New Roman"/>
          <w:lang w:val="mk-MK"/>
        </w:rPr>
        <w:t xml:space="preserve">Влада на Република Србија. (2025). </w:t>
      </w:r>
      <w:r>
        <w:rPr>
          <w:rFonts w:ascii="Times New Roman" w:hAnsi="Times New Roman" w:cs="Times New Roman"/>
          <w:i/>
          <w:lang w:val="mk-MK"/>
        </w:rPr>
        <w:t>Стратегија за развој на вештачка интелигенција во Република Србија за периодот 2025-2030</w:t>
      </w:r>
      <w:r>
        <w:rPr>
          <w:rFonts w:ascii="Times New Roman" w:hAnsi="Times New Roman" w:cs="Times New Roman"/>
          <w:lang w:val="mk-MK"/>
        </w:rPr>
        <w:t>. Белград: Службен гласник на РС.</w:t>
      </w:r>
    </w:p>
    <w:p w14:paraId="401DBF95" w14:textId="77777777" w:rsidR="00FE200F" w:rsidRDefault="00E77CAF">
      <w:pPr>
        <w:pStyle w:val="ListNumber"/>
        <w:numPr>
          <w:ilvl w:val="0"/>
          <w:numId w:val="16"/>
        </w:numPr>
        <w:rPr>
          <w:rFonts w:ascii="Times New Roman" w:hAnsi="Times New Roman" w:cs="Times New Roman"/>
          <w:lang w:val="mk-MK"/>
        </w:rPr>
      </w:pPr>
      <w:r>
        <w:rPr>
          <w:rFonts w:ascii="Times New Roman" w:hAnsi="Times New Roman" w:cs="Times New Roman"/>
          <w:lang w:val="mk-MK"/>
        </w:rPr>
        <w:t xml:space="preserve">Влада на Република Хрватска. (2024). </w:t>
      </w:r>
      <w:r>
        <w:rPr>
          <w:rFonts w:ascii="Times New Roman" w:hAnsi="Times New Roman" w:cs="Times New Roman"/>
          <w:i/>
          <w:lang w:val="mk-MK"/>
        </w:rPr>
        <w:t>Национален план за развој на вештачка интелиг</w:t>
      </w:r>
      <w:r>
        <w:rPr>
          <w:rFonts w:ascii="Times New Roman" w:hAnsi="Times New Roman" w:cs="Times New Roman"/>
          <w:i/>
          <w:lang w:val="mk-MK"/>
        </w:rPr>
        <w:t>енција 2026-2028 (во изработка)</w:t>
      </w:r>
      <w:r>
        <w:rPr>
          <w:rFonts w:ascii="Times New Roman" w:hAnsi="Times New Roman" w:cs="Times New Roman"/>
          <w:lang w:val="mk-MK"/>
        </w:rPr>
        <w:t>. Загреб.</w:t>
      </w:r>
    </w:p>
    <w:p w14:paraId="504B826E" w14:textId="77777777" w:rsidR="00FE200F" w:rsidRDefault="00E77CAF">
      <w:pPr>
        <w:pStyle w:val="ListNumber"/>
        <w:numPr>
          <w:ilvl w:val="0"/>
          <w:numId w:val="16"/>
        </w:numPr>
        <w:rPr>
          <w:rFonts w:ascii="Times New Roman" w:hAnsi="Times New Roman" w:cs="Times New Roman"/>
          <w:lang w:val="mk-MK"/>
        </w:rPr>
      </w:pPr>
      <w:r>
        <w:rPr>
          <w:rFonts w:ascii="Times New Roman" w:hAnsi="Times New Roman" w:cs="Times New Roman"/>
          <w:lang w:val="mk-MK"/>
        </w:rPr>
        <w:t xml:space="preserve">Inetum Consulting. (2024). </w:t>
      </w:r>
      <w:r>
        <w:rPr>
          <w:rFonts w:ascii="Times New Roman" w:hAnsi="Times New Roman" w:cs="Times New Roman"/>
          <w:i/>
          <w:lang w:val="mk-MK"/>
        </w:rPr>
        <w:t>Helping Albania implement its AI strategy and roadmap</w:t>
      </w:r>
      <w:r>
        <w:rPr>
          <w:rFonts w:ascii="Times New Roman" w:hAnsi="Times New Roman" w:cs="Times New Roman"/>
          <w:lang w:val="mk-MK"/>
        </w:rPr>
        <w:t>. Consultancy.eu.</w:t>
      </w:r>
    </w:p>
    <w:p w14:paraId="7BD7A4DA" w14:textId="77777777" w:rsidR="00FE200F" w:rsidRDefault="00E77CAF">
      <w:pPr>
        <w:pStyle w:val="ListNumber"/>
        <w:numPr>
          <w:ilvl w:val="0"/>
          <w:numId w:val="16"/>
        </w:numPr>
        <w:rPr>
          <w:rFonts w:ascii="Times New Roman" w:hAnsi="Times New Roman" w:cs="Times New Roman"/>
          <w:lang w:val="mk-MK"/>
        </w:rPr>
      </w:pPr>
      <w:r>
        <w:rPr>
          <w:rFonts w:ascii="Times New Roman" w:hAnsi="Times New Roman" w:cs="Times New Roman"/>
          <w:lang w:val="mk-MK"/>
        </w:rPr>
        <w:t xml:space="preserve">ITU. (2021). </w:t>
      </w:r>
      <w:r>
        <w:rPr>
          <w:rFonts w:ascii="Times New Roman" w:hAnsi="Times New Roman" w:cs="Times New Roman"/>
          <w:i/>
          <w:lang w:val="mk-MK"/>
        </w:rPr>
        <w:t>Digital Development Country Profile: North Macedonia</w:t>
      </w:r>
      <w:r>
        <w:rPr>
          <w:rFonts w:ascii="Times New Roman" w:hAnsi="Times New Roman" w:cs="Times New Roman"/>
          <w:lang w:val="mk-MK"/>
        </w:rPr>
        <w:t>. Geneva: International Telecommunication Union.</w:t>
      </w:r>
    </w:p>
    <w:p w14:paraId="1ADC38CE" w14:textId="77777777" w:rsidR="00FE200F" w:rsidRDefault="00E77CAF">
      <w:pPr>
        <w:pStyle w:val="ListNumber"/>
        <w:numPr>
          <w:ilvl w:val="0"/>
          <w:numId w:val="16"/>
        </w:numPr>
        <w:rPr>
          <w:rFonts w:ascii="Times New Roman" w:hAnsi="Times New Roman" w:cs="Times New Roman"/>
          <w:lang w:val="mk-MK"/>
        </w:rPr>
      </w:pPr>
      <w:r>
        <w:rPr>
          <w:rFonts w:ascii="Times New Roman" w:hAnsi="Times New Roman" w:cs="Times New Roman"/>
          <w:lang w:val="mk-MK"/>
        </w:rPr>
        <w:t>UND</w:t>
      </w:r>
      <w:r>
        <w:rPr>
          <w:rFonts w:ascii="Times New Roman" w:hAnsi="Times New Roman" w:cs="Times New Roman"/>
          <w:lang w:val="mk-MK"/>
        </w:rPr>
        <w:t xml:space="preserve">P. (2024). </w:t>
      </w:r>
      <w:r>
        <w:rPr>
          <w:rFonts w:ascii="Times New Roman" w:hAnsi="Times New Roman" w:cs="Times New Roman"/>
          <w:i/>
          <w:lang w:val="mk-MK"/>
        </w:rPr>
        <w:t>Digital Readiness Assessment for North Macedonia</w:t>
      </w:r>
      <w:r>
        <w:rPr>
          <w:rFonts w:ascii="Times New Roman" w:hAnsi="Times New Roman" w:cs="Times New Roman"/>
          <w:lang w:val="mk-MK"/>
        </w:rPr>
        <w:t>. Skopје: United Nations Development Programme.</w:t>
      </w:r>
    </w:p>
    <w:p w14:paraId="0D7C092F" w14:textId="77777777" w:rsidR="00FE200F" w:rsidRDefault="00E77CAF">
      <w:pPr>
        <w:pStyle w:val="ListNumber"/>
        <w:numPr>
          <w:ilvl w:val="0"/>
          <w:numId w:val="16"/>
        </w:numPr>
        <w:rPr>
          <w:rFonts w:ascii="Times New Roman" w:hAnsi="Times New Roman" w:cs="Times New Roman"/>
          <w:lang w:val="mk-MK"/>
        </w:rPr>
      </w:pPr>
      <w:r>
        <w:rPr>
          <w:rFonts w:ascii="Times New Roman" w:hAnsi="Times New Roman" w:cs="Times New Roman"/>
          <w:lang w:val="mk-MK"/>
        </w:rPr>
        <w:t xml:space="preserve">OECD. (2025). </w:t>
      </w:r>
      <w:r>
        <w:rPr>
          <w:rFonts w:ascii="Times New Roman" w:hAnsi="Times New Roman" w:cs="Times New Roman"/>
          <w:i/>
          <w:lang w:val="mk-MK"/>
        </w:rPr>
        <w:t>Economic Convergence Scoreboard for the Western Balkans 2025</w:t>
      </w:r>
      <w:r>
        <w:rPr>
          <w:rFonts w:ascii="Times New Roman" w:hAnsi="Times New Roman" w:cs="Times New Roman"/>
          <w:lang w:val="mk-MK"/>
        </w:rPr>
        <w:t>. Paris: OECD Publishing.</w:t>
      </w:r>
    </w:p>
    <w:p w14:paraId="6A791B73" w14:textId="77777777" w:rsidR="00FE200F" w:rsidRDefault="00E77CAF">
      <w:pPr>
        <w:pStyle w:val="ListNumber"/>
        <w:numPr>
          <w:ilvl w:val="0"/>
          <w:numId w:val="16"/>
        </w:numPr>
        <w:rPr>
          <w:rFonts w:ascii="Times New Roman" w:hAnsi="Times New Roman" w:cs="Times New Roman"/>
          <w:lang w:val="mk-MK"/>
        </w:rPr>
      </w:pPr>
      <w:r>
        <w:rPr>
          <w:rFonts w:ascii="Times New Roman" w:hAnsi="Times New Roman" w:cs="Times New Roman"/>
          <w:lang w:val="mk-MK"/>
        </w:rPr>
        <w:t>Собрание на Република Северна Македонија. (2020).</w:t>
      </w:r>
      <w:r>
        <w:rPr>
          <w:rFonts w:ascii="Times New Roman" w:hAnsi="Times New Roman" w:cs="Times New Roman"/>
          <w:lang w:val="mk-MK"/>
        </w:rPr>
        <w:t xml:space="preserve"> </w:t>
      </w:r>
      <w:r>
        <w:rPr>
          <w:rFonts w:ascii="Times New Roman" w:hAnsi="Times New Roman" w:cs="Times New Roman"/>
          <w:i/>
          <w:lang w:val="mk-MK"/>
        </w:rPr>
        <w:t>Закон за заштита на личните податоци</w:t>
      </w:r>
      <w:r>
        <w:rPr>
          <w:rFonts w:ascii="Times New Roman" w:hAnsi="Times New Roman" w:cs="Times New Roman"/>
          <w:lang w:val="mk-MK"/>
        </w:rPr>
        <w:t>. Службен весник на РСМ, бр. 42/20.</w:t>
      </w:r>
    </w:p>
    <w:p w14:paraId="431F00A4" w14:textId="77777777" w:rsidR="00FE200F" w:rsidRDefault="00E77CAF">
      <w:pPr>
        <w:pStyle w:val="ListNumber"/>
        <w:numPr>
          <w:ilvl w:val="0"/>
          <w:numId w:val="16"/>
        </w:numPr>
        <w:rPr>
          <w:rFonts w:ascii="Times New Roman" w:hAnsi="Times New Roman" w:cs="Times New Roman"/>
          <w:lang w:val="mk-MK"/>
        </w:rPr>
      </w:pPr>
      <w:r>
        <w:rPr>
          <w:rFonts w:ascii="Times New Roman" w:hAnsi="Times New Roman" w:cs="Times New Roman"/>
          <w:lang w:val="mk-MK"/>
        </w:rPr>
        <w:t xml:space="preserve">Собрание на Република Северна Македонија. (2025). </w:t>
      </w:r>
      <w:r>
        <w:rPr>
          <w:rFonts w:ascii="Times New Roman" w:hAnsi="Times New Roman" w:cs="Times New Roman"/>
          <w:i/>
          <w:lang w:val="mk-MK"/>
        </w:rPr>
        <w:t>Закон за електронски комуникации</w:t>
      </w:r>
      <w:r>
        <w:rPr>
          <w:rFonts w:ascii="Times New Roman" w:hAnsi="Times New Roman" w:cs="Times New Roman"/>
          <w:lang w:val="mk-MK"/>
        </w:rPr>
        <w:t>. Службен весник на РСМ.</w:t>
      </w:r>
    </w:p>
    <w:p w14:paraId="176862B5" w14:textId="77777777" w:rsidR="00FE200F" w:rsidRDefault="00E77CAF">
      <w:pPr>
        <w:pStyle w:val="ListNumber"/>
        <w:numPr>
          <w:ilvl w:val="0"/>
          <w:numId w:val="16"/>
        </w:numPr>
        <w:rPr>
          <w:rFonts w:ascii="Times New Roman" w:hAnsi="Times New Roman" w:cs="Times New Roman"/>
          <w:lang w:val="mk-MK"/>
        </w:rPr>
      </w:pPr>
      <w:r>
        <w:rPr>
          <w:rFonts w:ascii="Times New Roman" w:hAnsi="Times New Roman" w:cs="Times New Roman"/>
          <w:lang w:val="mk-MK"/>
        </w:rPr>
        <w:t xml:space="preserve">Собрание на Република Северна Македонија. (2019). </w:t>
      </w:r>
      <w:r>
        <w:rPr>
          <w:rFonts w:ascii="Times New Roman" w:hAnsi="Times New Roman" w:cs="Times New Roman"/>
          <w:i/>
          <w:lang w:val="mk-MK"/>
        </w:rPr>
        <w:t>Закон за електронска управ</w:t>
      </w:r>
      <w:r>
        <w:rPr>
          <w:rFonts w:ascii="Times New Roman" w:hAnsi="Times New Roman" w:cs="Times New Roman"/>
          <w:i/>
          <w:lang w:val="mk-MK"/>
        </w:rPr>
        <w:t>а</w:t>
      </w:r>
      <w:r>
        <w:rPr>
          <w:rFonts w:ascii="Times New Roman" w:hAnsi="Times New Roman" w:cs="Times New Roman"/>
          <w:lang w:val="mk-MK"/>
        </w:rPr>
        <w:t>. Службен весник на РСМ, бр. 98/19.</w:t>
      </w:r>
    </w:p>
    <w:p w14:paraId="1A9F660A" w14:textId="77777777" w:rsidR="00FE200F" w:rsidRDefault="00E77CAF">
      <w:pPr>
        <w:pStyle w:val="ListNumber"/>
        <w:numPr>
          <w:ilvl w:val="0"/>
          <w:numId w:val="16"/>
        </w:numPr>
        <w:rPr>
          <w:rFonts w:ascii="Times New Roman" w:hAnsi="Times New Roman" w:cs="Times New Roman"/>
          <w:lang w:val="mk-MK"/>
        </w:rPr>
      </w:pPr>
      <w:r>
        <w:rPr>
          <w:rFonts w:ascii="Times New Roman" w:hAnsi="Times New Roman" w:cs="Times New Roman"/>
          <w:lang w:val="mk-MK"/>
        </w:rPr>
        <w:t xml:space="preserve">World Economic Forum. (2024). </w:t>
      </w:r>
      <w:r>
        <w:rPr>
          <w:rFonts w:ascii="Times New Roman" w:hAnsi="Times New Roman" w:cs="Times New Roman"/>
          <w:i/>
          <w:lang w:val="mk-MK"/>
        </w:rPr>
        <w:t>A Framework for Developing a National Artificial Intelligence Strategy</w:t>
      </w:r>
      <w:r>
        <w:rPr>
          <w:rFonts w:ascii="Times New Roman" w:hAnsi="Times New Roman" w:cs="Times New Roman"/>
          <w:lang w:val="mk-MK"/>
        </w:rPr>
        <w:t>. Geneva: WEF.</w:t>
      </w:r>
    </w:p>
    <w:sectPr w:rsidR="00FE200F">
      <w:footerReference w:type="even" r:id="rId24"/>
      <w:footerReference w:type="default" r:id="rId25"/>
      <w:footerReference w:type="first" r:id="rId26"/>
      <w:pgSz w:w="12240" w:h="15840"/>
      <w:pgMar w:top="1417" w:right="1417" w:bottom="1417" w:left="1701"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A167DF" w14:textId="77777777" w:rsidR="00E77CAF" w:rsidRDefault="00E77CAF">
      <w:pPr>
        <w:spacing w:after="0" w:line="240" w:lineRule="auto"/>
      </w:pPr>
      <w:r>
        <w:separator/>
      </w:r>
    </w:p>
  </w:endnote>
  <w:endnote w:type="continuationSeparator" w:id="0">
    <w:p w14:paraId="185379D0" w14:textId="77777777" w:rsidR="00E77CAF" w:rsidRDefault="00E77C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obiSerif Regular">
    <w:altName w:val="Calibri"/>
    <w:panose1 w:val="00000000000000000000"/>
    <w:charset w:val="00"/>
    <w:family w:val="modern"/>
    <w:notTrueType/>
    <w:pitch w:val="variable"/>
    <w:sig w:usb0="A00002AF" w:usb1="5000204B"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1"/>
    <w:family w:val="roman"/>
    <w:pitch w:val="variable"/>
  </w:font>
  <w:font w:name="Liberation Sans">
    <w:altName w:val="Arial"/>
    <w:charset w:val="01"/>
    <w:family w:val="roman"/>
    <w:pitch w:val="variable"/>
  </w:font>
  <w:font w:name="Source Han Sans CN">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E02A6C" w14:textId="77777777" w:rsidR="00FE200F" w:rsidRDefault="00FE200F">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498678"/>
      <w:docPartObj>
        <w:docPartGallery w:val="Page Numbers (Bottom of Page)"/>
        <w:docPartUnique/>
      </w:docPartObj>
    </w:sdtPr>
    <w:sdtEndPr/>
    <w:sdtContent>
      <w:p w14:paraId="75A6F60B" w14:textId="72B9233E" w:rsidR="00FE200F" w:rsidRDefault="00E77CAF">
        <w:pPr>
          <w:pStyle w:val="Footer"/>
          <w:jc w:val="center"/>
          <w:rPr>
            <w:rFonts w:ascii="StobiSerif Regular" w:hAnsi="StobiSerif Regular"/>
            <w:sz w:val="16"/>
            <w:szCs w:val="16"/>
          </w:rPr>
        </w:pPr>
        <w:r>
          <w:fldChar w:fldCharType="begin"/>
        </w:r>
        <w:r>
          <w:instrText xml:space="preserve"> PAGE </w:instrText>
        </w:r>
        <w:r>
          <w:fldChar w:fldCharType="separate"/>
        </w:r>
        <w:r w:rsidR="007B700F">
          <w:rPr>
            <w:noProof/>
          </w:rPr>
          <w:t>10</w:t>
        </w:r>
        <w:r>
          <w:fldChar w:fldCharType="end"/>
        </w:r>
      </w:p>
      <w:p w14:paraId="2139FB49" w14:textId="77777777" w:rsidR="00FE200F" w:rsidRDefault="00E77CAF">
        <w:pPr>
          <w:pStyle w:val="Footer"/>
          <w:rPr>
            <w:rFonts w:ascii="StobiSerif Regular" w:hAnsi="StobiSerif Regular"/>
            <w:sz w:val="16"/>
            <w:szCs w:val="16"/>
          </w:rPr>
        </w:pP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D46EE" w14:textId="77777777" w:rsidR="00FE200F" w:rsidRDefault="00FE200F">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7E246C" w14:textId="77777777" w:rsidR="00FE200F" w:rsidRDefault="00FE200F">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6948237"/>
      <w:docPartObj>
        <w:docPartGallery w:val="Page Numbers (Bottom of Page)"/>
        <w:docPartUnique/>
      </w:docPartObj>
    </w:sdtPr>
    <w:sdtEndPr/>
    <w:sdtContent>
      <w:p w14:paraId="29C08EEC" w14:textId="11B882E8" w:rsidR="00FE200F" w:rsidRDefault="00E77CAF">
        <w:pPr>
          <w:pStyle w:val="Footer"/>
          <w:jc w:val="center"/>
          <w:rPr>
            <w:rFonts w:ascii="StobiSerif Regular" w:hAnsi="StobiSerif Regular"/>
            <w:sz w:val="16"/>
            <w:szCs w:val="16"/>
          </w:rPr>
        </w:pPr>
        <w:r>
          <w:fldChar w:fldCharType="begin"/>
        </w:r>
        <w:r>
          <w:instrText xml:space="preserve"> PAGE </w:instrText>
        </w:r>
        <w:r>
          <w:fldChar w:fldCharType="separate"/>
        </w:r>
        <w:r w:rsidR="007B700F">
          <w:rPr>
            <w:noProof/>
          </w:rPr>
          <w:t>89</w:t>
        </w:r>
        <w:r>
          <w:fldChar w:fldCharType="end"/>
        </w:r>
      </w:p>
      <w:p w14:paraId="5B37C09C" w14:textId="77777777" w:rsidR="00FE200F" w:rsidRDefault="00E77CAF">
        <w:pPr>
          <w:pStyle w:val="Footer"/>
          <w:rPr>
            <w:rFonts w:ascii="StobiSerif Regular" w:hAnsi="StobiSerif Regular"/>
            <w:sz w:val="16"/>
            <w:szCs w:val="16"/>
          </w:rPr>
        </w:pP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1ED35" w14:textId="77777777" w:rsidR="00FE200F" w:rsidRDefault="00FE200F"/>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7BDDF" w14:textId="77777777" w:rsidR="00FE200F" w:rsidRDefault="00FE200F">
    <w:pPr>
      <w:pStyle w:val="Foo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156558"/>
      <w:docPartObj>
        <w:docPartGallery w:val="Page Numbers (Bottom of Page)"/>
        <w:docPartUnique/>
      </w:docPartObj>
    </w:sdtPr>
    <w:sdtEndPr/>
    <w:sdtContent>
      <w:p w14:paraId="2FA6B0E2" w14:textId="42C5E07C" w:rsidR="00FE200F" w:rsidRDefault="00E77CAF">
        <w:pPr>
          <w:pStyle w:val="Footer"/>
          <w:jc w:val="center"/>
          <w:rPr>
            <w:rFonts w:ascii="StobiSerif Regular" w:hAnsi="StobiSerif Regular"/>
            <w:sz w:val="16"/>
            <w:szCs w:val="16"/>
          </w:rPr>
        </w:pPr>
        <w:r>
          <w:fldChar w:fldCharType="begin"/>
        </w:r>
        <w:r>
          <w:instrText xml:space="preserve"> PAGE </w:instrText>
        </w:r>
        <w:r>
          <w:fldChar w:fldCharType="separate"/>
        </w:r>
        <w:r w:rsidR="007B700F">
          <w:rPr>
            <w:noProof/>
          </w:rPr>
          <w:t>93</w:t>
        </w:r>
        <w:r>
          <w:fldChar w:fldCharType="end"/>
        </w:r>
      </w:p>
      <w:p w14:paraId="28DC8BC5" w14:textId="77777777" w:rsidR="00FE200F" w:rsidRDefault="00E77CAF">
        <w:pPr>
          <w:pStyle w:val="Footer"/>
          <w:rPr>
            <w:rFonts w:ascii="StobiSerif Regular" w:hAnsi="StobiSerif Regular"/>
            <w:sz w:val="16"/>
            <w:szCs w:val="16"/>
          </w:rPr>
        </w:pPr>
      </w:p>
    </w:sdtContent>
  </w:sdt>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4CF35" w14:textId="77777777" w:rsidR="00FE200F" w:rsidRDefault="00FE200F"/>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F0EB6" w14:textId="77777777" w:rsidR="00FE200F" w:rsidRDefault="00FE200F">
    <w:pPr>
      <w:pStyle w:val="Footer"/>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4167159"/>
      <w:docPartObj>
        <w:docPartGallery w:val="Page Numbers (Bottom of Page)"/>
        <w:docPartUnique/>
      </w:docPartObj>
    </w:sdtPr>
    <w:sdtEndPr/>
    <w:sdtContent>
      <w:p w14:paraId="778E04B4" w14:textId="4B6C56EF" w:rsidR="00FE200F" w:rsidRDefault="00E77CAF">
        <w:pPr>
          <w:pStyle w:val="Footer"/>
          <w:jc w:val="center"/>
          <w:rPr>
            <w:rFonts w:ascii="StobiSerif Regular" w:hAnsi="StobiSerif Regular"/>
            <w:sz w:val="16"/>
            <w:szCs w:val="16"/>
          </w:rPr>
        </w:pPr>
        <w:r>
          <w:fldChar w:fldCharType="begin"/>
        </w:r>
        <w:r>
          <w:instrText xml:space="preserve"> PAGE </w:instrText>
        </w:r>
        <w:r>
          <w:fldChar w:fldCharType="separate"/>
        </w:r>
        <w:r w:rsidR="007B700F">
          <w:rPr>
            <w:noProof/>
          </w:rPr>
          <w:t>96</w:t>
        </w:r>
        <w:r>
          <w:fldChar w:fldCharType="end"/>
        </w:r>
      </w:p>
      <w:p w14:paraId="1E575817" w14:textId="77777777" w:rsidR="00FE200F" w:rsidRDefault="00E77CAF">
        <w:pPr>
          <w:pStyle w:val="Footer"/>
          <w:rPr>
            <w:rFonts w:ascii="StobiSerif Regular" w:hAnsi="StobiSerif Regular"/>
            <w:sz w:val="16"/>
            <w:szCs w:val="16"/>
          </w:rPr>
        </w:pPr>
      </w:p>
    </w:sdtContent>
  </w:sdt>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A1A99" w14:textId="77777777" w:rsidR="00FE200F" w:rsidRDefault="00FE200F"/>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7B7CE3" w14:textId="77777777" w:rsidR="00FE200F" w:rsidRDefault="00FE200F">
    <w:pPr>
      <w:pStyle w:val="Footer"/>
    </w:pP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7655916"/>
      <w:docPartObj>
        <w:docPartGallery w:val="Page Numbers (Bottom of Page)"/>
        <w:docPartUnique/>
      </w:docPartObj>
    </w:sdtPr>
    <w:sdtEndPr/>
    <w:sdtContent>
      <w:p w14:paraId="3F1CCFC3" w14:textId="4F1DF239" w:rsidR="00FE200F" w:rsidRDefault="00E77CAF">
        <w:pPr>
          <w:pStyle w:val="Footer"/>
          <w:jc w:val="center"/>
          <w:rPr>
            <w:rFonts w:ascii="StobiSerif Regular" w:hAnsi="StobiSerif Regular"/>
            <w:sz w:val="16"/>
            <w:szCs w:val="16"/>
          </w:rPr>
        </w:pPr>
        <w:r>
          <w:fldChar w:fldCharType="begin"/>
        </w:r>
        <w:r>
          <w:instrText xml:space="preserve"> PAGE </w:instrText>
        </w:r>
        <w:r>
          <w:fldChar w:fldCharType="separate"/>
        </w:r>
        <w:r w:rsidR="007B700F">
          <w:rPr>
            <w:noProof/>
          </w:rPr>
          <w:t>104</w:t>
        </w:r>
        <w:r>
          <w:fldChar w:fldCharType="end"/>
        </w:r>
      </w:p>
      <w:p w14:paraId="4F5B35F1" w14:textId="77777777" w:rsidR="00FE200F" w:rsidRDefault="00E77CAF">
        <w:pPr>
          <w:pStyle w:val="Footer"/>
          <w:rPr>
            <w:rFonts w:ascii="StobiSerif Regular" w:hAnsi="StobiSerif Regular"/>
            <w:sz w:val="16"/>
            <w:szCs w:val="16"/>
          </w:rPr>
        </w:pPr>
      </w:p>
    </w:sdtContent>
  </w:sdt>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EDB73" w14:textId="77777777" w:rsidR="00FE200F" w:rsidRDefault="00FE200F"/>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A4A5F3" w14:textId="77777777" w:rsidR="00E77CAF" w:rsidRDefault="00E77CAF">
      <w:pPr>
        <w:spacing w:after="0" w:line="240" w:lineRule="auto"/>
      </w:pPr>
      <w:r>
        <w:separator/>
      </w:r>
    </w:p>
  </w:footnote>
  <w:footnote w:type="continuationSeparator" w:id="0">
    <w:p w14:paraId="49E142B7" w14:textId="77777777" w:rsidR="00E77CAF" w:rsidRDefault="00E77C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84E25"/>
    <w:multiLevelType w:val="multilevel"/>
    <w:tmpl w:val="5AE0D6E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19B86E88"/>
    <w:multiLevelType w:val="multilevel"/>
    <w:tmpl w:val="4A6A596A"/>
    <w:lvl w:ilvl="0">
      <w:start w:val="1"/>
      <w:numFmt w:val="decimal"/>
      <w:pStyle w:val="ListNumber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D3E0968"/>
    <w:multiLevelType w:val="multilevel"/>
    <w:tmpl w:val="2D64A054"/>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15:restartNumberingAfterBreak="0">
    <w:nsid w:val="1DFF793A"/>
    <w:multiLevelType w:val="multilevel"/>
    <w:tmpl w:val="E432D15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1E11293D"/>
    <w:multiLevelType w:val="multilevel"/>
    <w:tmpl w:val="7ACC6FE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21F32D54"/>
    <w:multiLevelType w:val="multilevel"/>
    <w:tmpl w:val="682CE1E8"/>
    <w:lvl w:ilvl="0">
      <w:start w:val="1"/>
      <w:numFmt w:val="bullet"/>
      <w:pStyle w:val="ListBullet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24A925D6"/>
    <w:multiLevelType w:val="multilevel"/>
    <w:tmpl w:val="63D08D9E"/>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2BD079FC"/>
    <w:multiLevelType w:val="multilevel"/>
    <w:tmpl w:val="328EDA7E"/>
    <w:lvl w:ilvl="0">
      <w:start w:val="1"/>
      <w:numFmt w:val="decimal"/>
      <w:lvlText w:val="%1."/>
      <w:lvlJc w:val="left"/>
      <w:pPr>
        <w:tabs>
          <w:tab w:val="num" w:pos="720"/>
        </w:tabs>
        <w:ind w:left="720" w:hanging="360"/>
      </w:pPr>
      <w:rPr>
        <w:rFonts w:ascii="StobiSerif Regular" w:hAnsi="StobiSerif Regular"/>
      </w:r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8" w15:restartNumberingAfterBreak="0">
    <w:nsid w:val="370875B1"/>
    <w:multiLevelType w:val="multilevel"/>
    <w:tmpl w:val="D2FEEB8E"/>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43723ADE"/>
    <w:multiLevelType w:val="multilevel"/>
    <w:tmpl w:val="2A66D5BC"/>
    <w:lvl w:ilvl="0">
      <w:start w:val="1"/>
      <w:numFmt w:val="decimal"/>
      <w:lvlText w:val="%1."/>
      <w:lvlJc w:val="left"/>
      <w:pPr>
        <w:tabs>
          <w:tab w:val="num" w:pos="0"/>
        </w:tabs>
        <w:ind w:left="720" w:hanging="360"/>
      </w:pPr>
      <w:rPr>
        <w:rFonts w:ascii="StobiSerif Regular" w:hAnsi="StobiSerif Regular"/>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464C030E"/>
    <w:multiLevelType w:val="multilevel"/>
    <w:tmpl w:val="AC445E76"/>
    <w:lvl w:ilvl="0">
      <w:start w:val="1"/>
      <w:numFmt w:val="bullet"/>
      <w:pStyle w:val="ListBullet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4DAD18FC"/>
    <w:multiLevelType w:val="multilevel"/>
    <w:tmpl w:val="73806886"/>
    <w:lvl w:ilvl="0">
      <w:start w:val="1"/>
      <w:numFmt w:val="decimal"/>
      <w:pStyle w:val="ListNumber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53D145B0"/>
    <w:multiLevelType w:val="multilevel"/>
    <w:tmpl w:val="6B421D5C"/>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3" w15:restartNumberingAfterBreak="0">
    <w:nsid w:val="5E65264A"/>
    <w:multiLevelType w:val="multilevel"/>
    <w:tmpl w:val="5EC40B9C"/>
    <w:lvl w:ilvl="0">
      <w:start w:val="1"/>
      <w:numFmt w:val="decimal"/>
      <w:lvlText w:val="%1."/>
      <w:lvlJc w:val="left"/>
      <w:pPr>
        <w:tabs>
          <w:tab w:val="num" w:pos="360"/>
        </w:tabs>
        <w:ind w:left="360" w:hanging="360"/>
      </w:pPr>
      <w:rPr>
        <w:rFonts w:ascii="StobiSerif Regular" w:hAnsi="StobiSerif Regula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5FC84B43"/>
    <w:multiLevelType w:val="multilevel"/>
    <w:tmpl w:val="409893BE"/>
    <w:lvl w:ilvl="0">
      <w:start w:val="1"/>
      <w:numFmt w:val="bullet"/>
      <w:pStyle w:val="List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6C34602E"/>
    <w:multiLevelType w:val="multilevel"/>
    <w:tmpl w:val="FE8E432C"/>
    <w:lvl w:ilvl="0">
      <w:start w:val="1"/>
      <w:numFmt w:val="decimal"/>
      <w:pStyle w:val="ListNumb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73A423C6"/>
    <w:multiLevelType w:val="multilevel"/>
    <w:tmpl w:val="34CA918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75F762A8"/>
    <w:multiLevelType w:val="multilevel"/>
    <w:tmpl w:val="2986630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7EF84EBD"/>
    <w:multiLevelType w:val="multilevel"/>
    <w:tmpl w:val="D62C065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4"/>
  </w:num>
  <w:num w:numId="2">
    <w:abstractNumId w:val="5"/>
  </w:num>
  <w:num w:numId="3">
    <w:abstractNumId w:val="10"/>
  </w:num>
  <w:num w:numId="4">
    <w:abstractNumId w:val="1"/>
  </w:num>
  <w:num w:numId="5">
    <w:abstractNumId w:val="11"/>
  </w:num>
  <w:num w:numId="6">
    <w:abstractNumId w:val="0"/>
  </w:num>
  <w:num w:numId="7">
    <w:abstractNumId w:val="6"/>
  </w:num>
  <w:num w:numId="8">
    <w:abstractNumId w:val="4"/>
  </w:num>
  <w:num w:numId="9">
    <w:abstractNumId w:val="17"/>
  </w:num>
  <w:num w:numId="10">
    <w:abstractNumId w:val="9"/>
  </w:num>
  <w:num w:numId="11">
    <w:abstractNumId w:val="15"/>
  </w:num>
  <w:num w:numId="12">
    <w:abstractNumId w:val="18"/>
  </w:num>
  <w:num w:numId="13">
    <w:abstractNumId w:val="12"/>
  </w:num>
  <w:num w:numId="14">
    <w:abstractNumId w:val="3"/>
  </w:num>
  <w:num w:numId="15">
    <w:abstractNumId w:val="8"/>
  </w:num>
  <w:num w:numId="16">
    <w:abstractNumId w:val="2"/>
  </w:num>
  <w:num w:numId="17">
    <w:abstractNumId w:val="7"/>
  </w:num>
  <w:num w:numId="18">
    <w:abstractNumId w:val="16"/>
    <w:lvlOverride w:ilvl="0">
      <w:startOverride w:val="1"/>
    </w:lvlOverride>
  </w:num>
  <w:num w:numId="19">
    <w:abstractNumId w:val="16"/>
  </w:num>
  <w:num w:numId="20">
    <w:abstractNumId w:val="16"/>
  </w:num>
  <w:num w:numId="21">
    <w:abstractNumId w:val="16"/>
  </w:num>
  <w:num w:numId="22">
    <w:abstractNumId w:val="16"/>
    <w:lvlOverride w:ilvl="0">
      <w:startOverride w:val="1"/>
    </w:lvlOverride>
  </w:num>
  <w:num w:numId="23">
    <w:abstractNumId w:val="16"/>
  </w:num>
  <w:num w:numId="24">
    <w:abstractNumId w:val="16"/>
  </w:num>
  <w:num w:numId="25">
    <w:abstractNumId w:val="16"/>
    <w:lvlOverride w:ilvl="0">
      <w:startOverride w:val="1"/>
    </w:lvlOverride>
  </w:num>
  <w:num w:numId="26">
    <w:abstractNumId w:val="16"/>
  </w:num>
  <w:num w:numId="27">
    <w:abstractNumId w:val="16"/>
  </w:num>
  <w:num w:numId="28">
    <w:abstractNumId w:val="16"/>
  </w:num>
  <w:num w:numId="29">
    <w:abstractNumId w:val="16"/>
    <w:lvlOverride w:ilvl="0">
      <w:startOverride w:val="1"/>
    </w:lvlOverride>
  </w:num>
  <w:num w:numId="30">
    <w:abstractNumId w:val="16"/>
  </w:num>
  <w:num w:numId="31">
    <w:abstractNumId w:val="16"/>
  </w:num>
  <w:num w:numId="32">
    <w:abstractNumId w:val="16"/>
  </w:num>
  <w:num w:numId="33">
    <w:abstractNumId w:val="16"/>
  </w:num>
  <w:num w:numId="34">
    <w:abstractNumId w:val="16"/>
  </w:num>
  <w:num w:numId="35">
    <w:abstractNumId w:val="16"/>
    <w:lvlOverride w:ilvl="0">
      <w:startOverride w:val="1"/>
    </w:lvlOverride>
  </w:num>
  <w:num w:numId="36">
    <w:abstractNumId w:val="16"/>
  </w:num>
  <w:num w:numId="37">
    <w:abstractNumId w:val="16"/>
  </w:num>
  <w:num w:numId="38">
    <w:abstractNumId w:val="16"/>
  </w:num>
  <w:num w:numId="39">
    <w:abstractNumId w:val="16"/>
  </w:num>
  <w:num w:numId="40">
    <w:abstractNumId w:val="13"/>
    <w:lvlOverride w:ilvl="0">
      <w:startOverride w:val="1"/>
    </w:lvlOverride>
  </w:num>
  <w:num w:numId="41">
    <w:abstractNumId w:val="13"/>
  </w:num>
  <w:num w:numId="42">
    <w:abstractNumId w:val="13"/>
  </w:num>
  <w:num w:numId="43">
    <w:abstractNumId w:val="13"/>
  </w:num>
  <w:num w:numId="44">
    <w:abstractNumId w:val="13"/>
  </w:num>
  <w:num w:numId="45">
    <w:abstractNumId w:val="13"/>
  </w:num>
  <w:num w:numId="46">
    <w:abstractNumId w:val="13"/>
  </w:num>
  <w:num w:numId="47">
    <w:abstractNumId w:val="13"/>
    <w:lvlOverride w:ilvl="0">
      <w:startOverride w:val="1"/>
    </w:lvlOverride>
  </w:num>
  <w:num w:numId="48">
    <w:abstractNumId w:val="13"/>
  </w:num>
  <w:num w:numId="49">
    <w:abstractNumId w:val="13"/>
  </w:num>
  <w:num w:numId="50">
    <w:abstractNumId w:val="13"/>
  </w:num>
  <w:num w:numId="51">
    <w:abstractNumId w:val="1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200F"/>
    <w:rsid w:val="00015530"/>
    <w:rsid w:val="000E5E74"/>
    <w:rsid w:val="0036316E"/>
    <w:rsid w:val="005C57F1"/>
    <w:rsid w:val="00717630"/>
    <w:rsid w:val="007B700F"/>
    <w:rsid w:val="007F2DB4"/>
    <w:rsid w:val="009C2D42"/>
    <w:rsid w:val="009F006F"/>
    <w:rsid w:val="00AD3346"/>
    <w:rsid w:val="00CC63F5"/>
    <w:rsid w:val="00D83ADD"/>
    <w:rsid w:val="00E77CAF"/>
    <w:rsid w:val="00F418D6"/>
    <w:rsid w:val="00FE200F"/>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EE47A"/>
  <w15:docId w15:val="{24201DE6-337D-AC46-9286-A969687A6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3302"/>
    <w:pPr>
      <w:spacing w:after="120" w:line="280" w:lineRule="exact"/>
    </w:pPr>
    <w:rPr>
      <w:rFonts w:ascii="Calibri" w:eastAsia="MS Mincho" w:hAnsi="Calibri"/>
      <w:color w:val="1A1A1A"/>
    </w:rPr>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b/>
      <w:bCs/>
      <w:color w:val="002B5C"/>
      <w:sz w:val="36"/>
      <w:szCs w:val="28"/>
    </w:rPr>
  </w:style>
  <w:style w:type="paragraph" w:styleId="Heading2">
    <w:name w:val="heading 2"/>
    <w:basedOn w:val="Normal"/>
    <w:next w:val="Normal"/>
    <w:link w:val="Heading2Char"/>
    <w:uiPriority w:val="9"/>
    <w:unhideWhenUsed/>
    <w:qFormat/>
    <w:rsid w:val="00FC693F"/>
    <w:pPr>
      <w:keepNext/>
      <w:keepLines/>
      <w:spacing w:before="280"/>
      <w:outlineLvl w:val="1"/>
    </w:pPr>
    <w:rPr>
      <w:rFonts w:asciiTheme="majorHAnsi" w:eastAsiaTheme="majorEastAsia" w:hAnsiTheme="majorHAnsi" w:cstheme="majorBidi"/>
      <w:b/>
      <w:bCs/>
      <w:color w:val="007A8A"/>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b/>
      <w:bCs/>
      <w:color w:val="002B5C"/>
      <w:sz w:val="24"/>
    </w:rPr>
  </w:style>
  <w:style w:type="paragraph" w:styleId="Heading4">
    <w:name w:val="heading 4"/>
    <w:basedOn w:val="Normal"/>
    <w:next w:val="Normal"/>
    <w:link w:val="Heading4Char"/>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E618BF"/>
  </w:style>
  <w:style w:type="character" w:customStyle="1" w:styleId="FooterChar">
    <w:name w:val="Footer Char"/>
    <w:basedOn w:val="DefaultParagraphFont"/>
    <w:link w:val="Footer"/>
    <w:uiPriority w:val="99"/>
    <w:qFormat/>
    <w:rsid w:val="00E618BF"/>
  </w:style>
  <w:style w:type="character" w:customStyle="1" w:styleId="Heading1Char">
    <w:name w:val="Heading 1 Char"/>
    <w:basedOn w:val="DefaultParagraphFont"/>
    <w:link w:val="Heading1"/>
    <w:uiPriority w:val="9"/>
    <w:qFormat/>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qFormat/>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qFormat/>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qFormat/>
    <w:rsid w:val="00FC693F"/>
    <w:rPr>
      <w:rFonts w:asciiTheme="majorHAnsi" w:eastAsiaTheme="majorEastAsia" w:hAnsiTheme="majorHAnsi" w:cstheme="majorBidi"/>
      <w:color w:val="17365D" w:themeColor="text2" w:themeShade="BF"/>
      <w:spacing w:val="5"/>
      <w:kern w:val="2"/>
      <w:sz w:val="52"/>
      <w:szCs w:val="52"/>
    </w:rPr>
  </w:style>
  <w:style w:type="character" w:customStyle="1" w:styleId="SubtitleChar">
    <w:name w:val="Subtitle Char"/>
    <w:basedOn w:val="DefaultParagraphFont"/>
    <w:link w:val="Subtitle"/>
    <w:uiPriority w:val="11"/>
    <w:qFormat/>
    <w:rsid w:val="00FC693F"/>
    <w:rPr>
      <w:rFonts w:asciiTheme="majorHAnsi" w:eastAsiaTheme="majorEastAsia" w:hAnsiTheme="majorHAnsi" w:cstheme="majorBidi"/>
      <w:i/>
      <w:iCs/>
      <w:color w:val="4F81BD" w:themeColor="accent1"/>
      <w:spacing w:val="15"/>
      <w:sz w:val="24"/>
      <w:szCs w:val="24"/>
    </w:rPr>
  </w:style>
  <w:style w:type="character" w:customStyle="1" w:styleId="BodyTextChar">
    <w:name w:val="Body Text Char"/>
    <w:basedOn w:val="DefaultParagraphFont"/>
    <w:link w:val="BodyText"/>
    <w:uiPriority w:val="99"/>
    <w:qFormat/>
    <w:rsid w:val="00AA1D8D"/>
  </w:style>
  <w:style w:type="character" w:customStyle="1" w:styleId="BodyText2Char">
    <w:name w:val="Body Text 2 Char"/>
    <w:basedOn w:val="DefaultParagraphFont"/>
    <w:link w:val="BodyText2"/>
    <w:uiPriority w:val="99"/>
    <w:qFormat/>
    <w:rsid w:val="00AA1D8D"/>
  </w:style>
  <w:style w:type="character" w:customStyle="1" w:styleId="BodyText3Char">
    <w:name w:val="Body Text 3 Char"/>
    <w:basedOn w:val="DefaultParagraphFont"/>
    <w:link w:val="BodyText3"/>
    <w:uiPriority w:val="99"/>
    <w:qFormat/>
    <w:rsid w:val="00AA1D8D"/>
    <w:rPr>
      <w:sz w:val="16"/>
      <w:szCs w:val="16"/>
    </w:rPr>
  </w:style>
  <w:style w:type="character" w:customStyle="1" w:styleId="MacroTextChar">
    <w:name w:val="Macro Text Char"/>
    <w:basedOn w:val="DefaultParagraphFont"/>
    <w:link w:val="MacroText"/>
    <w:uiPriority w:val="99"/>
    <w:qFormat/>
    <w:rsid w:val="0029639D"/>
    <w:rPr>
      <w:rFonts w:ascii="Courier" w:hAnsi="Courier"/>
      <w:sz w:val="20"/>
      <w:szCs w:val="20"/>
    </w:rPr>
  </w:style>
  <w:style w:type="character" w:customStyle="1" w:styleId="QuoteChar">
    <w:name w:val="Quote Char"/>
    <w:basedOn w:val="DefaultParagraphFont"/>
    <w:link w:val="Quote"/>
    <w:uiPriority w:val="29"/>
    <w:qFormat/>
    <w:rsid w:val="00FC693F"/>
    <w:rPr>
      <w:i/>
      <w:iCs/>
      <w:color w:val="000000" w:themeColor="text1"/>
    </w:rPr>
  </w:style>
  <w:style w:type="character" w:customStyle="1" w:styleId="Heading4Char">
    <w:name w:val="Heading 4 Char"/>
    <w:basedOn w:val="DefaultParagraphFont"/>
    <w:link w:val="Heading4"/>
    <w:uiPriority w:val="9"/>
    <w:qFormat/>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qFormat/>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qFormat/>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qFormat/>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qFormat/>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qFormat/>
    <w:rsid w:val="00FC693F"/>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customStyle="1" w:styleId="IntenseQuoteChar">
    <w:name w:val="Intense Quote Char"/>
    <w:basedOn w:val="DefaultParagraphFont"/>
    <w:link w:val="IntenseQuote"/>
    <w:uiPriority w:val="30"/>
    <w:qFormat/>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character" w:styleId="LineNumber">
    <w:name w:val="line number"/>
  </w:style>
  <w:style w:type="character" w:customStyle="1" w:styleId="CommentTextChar">
    <w:name w:val="Comment Text Char"/>
    <w:basedOn w:val="DefaultParagraphFont"/>
    <w:link w:val="CommentText"/>
    <w:uiPriority w:val="99"/>
    <w:qFormat/>
    <w:rPr>
      <w:rFonts w:ascii="Calibri" w:eastAsia="MS Mincho" w:hAnsi="Calibri"/>
      <w:color w:val="1A1A1A"/>
      <w:sz w:val="20"/>
      <w:szCs w:val="20"/>
    </w:rPr>
  </w:style>
  <w:style w:type="character" w:styleId="CommentReference">
    <w:name w:val="annotation reference"/>
    <w:basedOn w:val="DefaultParagraphFont"/>
    <w:uiPriority w:val="99"/>
    <w:semiHidden/>
    <w:unhideWhenUsed/>
    <w:qFormat/>
    <w:rPr>
      <w:sz w:val="16"/>
      <w:szCs w:val="16"/>
    </w:rPr>
  </w:style>
  <w:style w:type="character" w:customStyle="1" w:styleId="CommentSubjectChar">
    <w:name w:val="Comment Subject Char"/>
    <w:basedOn w:val="CommentTextChar"/>
    <w:link w:val="CommentSubject"/>
    <w:uiPriority w:val="99"/>
    <w:semiHidden/>
    <w:qFormat/>
    <w:rsid w:val="00D00747"/>
    <w:rPr>
      <w:rFonts w:ascii="Calibri" w:eastAsia="MS Mincho" w:hAnsi="Calibri"/>
      <w:b/>
      <w:bCs/>
      <w:color w:val="1A1A1A"/>
      <w:sz w:val="20"/>
      <w:szCs w:val="20"/>
    </w:rPr>
  </w:style>
  <w:style w:type="character" w:customStyle="1" w:styleId="MdLink">
    <w:name w:val="MdLink"/>
    <w:uiPriority w:val="99"/>
    <w:unhideWhenUsed/>
    <w:qFormat/>
    <w:rsid w:val="00126E64"/>
    <w:rPr>
      <w:color w:val="0563C1"/>
      <w:u w:val="single"/>
    </w:rPr>
  </w:style>
  <w:style w:type="character" w:customStyle="1" w:styleId="MdStrong">
    <w:name w:val="MdStrong"/>
    <w:uiPriority w:val="99"/>
    <w:unhideWhenUsed/>
    <w:qFormat/>
    <w:rsid w:val="00126E64"/>
    <w:rPr>
      <w:b/>
      <w:bCs/>
    </w:rPr>
  </w:style>
  <w:style w:type="character" w:styleId="Hyperlink">
    <w:name w:val="Hyperlink"/>
    <w:uiPriority w:val="99"/>
    <w:rPr>
      <w:color w:val="000080"/>
      <w:u w:val="single"/>
    </w:rPr>
  </w:style>
  <w:style w:type="character" w:customStyle="1" w:styleId="IndexLink">
    <w:name w:val="Index Link"/>
    <w:qFormat/>
  </w:style>
  <w:style w:type="paragraph" w:customStyle="1" w:styleId="Heading">
    <w:name w:val="Heading"/>
    <w:basedOn w:val="Normal"/>
    <w:next w:val="BodyText"/>
    <w:qFormat/>
    <w:pPr>
      <w:keepNext/>
      <w:spacing w:before="240"/>
    </w:pPr>
    <w:rPr>
      <w:rFonts w:ascii="Liberation Sans" w:eastAsia="Source Han Sans CN" w:hAnsi="Liberation Sans" w:cs="Noto Sans Devanagari"/>
      <w:sz w:val="28"/>
      <w:szCs w:val="28"/>
    </w:rPr>
  </w:style>
  <w:style w:type="paragraph" w:styleId="BodyText">
    <w:name w:val="Body Text"/>
    <w:basedOn w:val="Normal"/>
    <w:link w:val="BodyTextChar"/>
    <w:uiPriority w:val="99"/>
    <w:unhideWhenUsed/>
    <w:rsid w:val="00AA1D8D"/>
  </w:style>
  <w:style w:type="paragraph" w:styleId="List">
    <w:name w:val="List"/>
    <w:basedOn w:val="Normal"/>
    <w:uiPriority w:val="99"/>
    <w:unhideWhenUsed/>
    <w:rsid w:val="00AA1D8D"/>
    <w:pPr>
      <w:ind w:left="360" w:hanging="360"/>
      <w:contextualSpacing/>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paragraph" w:customStyle="1" w:styleId="Index">
    <w:name w:val="Index"/>
    <w:basedOn w:val="Normal"/>
    <w:qFormat/>
    <w:pPr>
      <w:suppressLineNumbers/>
    </w:pPr>
    <w:rPr>
      <w:rFonts w:cs="Noto Sans Devanagari"/>
    </w:rPr>
  </w:style>
  <w:style w:type="paragraph" w:customStyle="1" w:styleId="HeaderandFooter">
    <w:name w:val="Header and Footer"/>
    <w:basedOn w:val="Normal"/>
    <w:qFormat/>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paragraph" w:styleId="NoSpacing">
    <w:name w:val="No Spacing"/>
    <w:uiPriority w:val="1"/>
    <w:qFormat/>
    <w:rsid w:val="00FC693F"/>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
      <w:sz w:val="52"/>
      <w:szCs w:val="52"/>
    </w:rPr>
  </w:style>
  <w:style w:type="paragraph" w:styleId="Subtitle">
    <w:name w:val="Subtitle"/>
    <w:basedOn w:val="Normal"/>
    <w:next w:val="Normal"/>
    <w:link w:val="SubtitleChar"/>
    <w:uiPriority w:val="11"/>
    <w:qFormat/>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2">
    <w:name w:val="Body Text 2"/>
    <w:basedOn w:val="Normal"/>
    <w:link w:val="BodyText2Char"/>
    <w:uiPriority w:val="99"/>
    <w:unhideWhenUsed/>
    <w:qFormat/>
    <w:rsid w:val="00AA1D8D"/>
    <w:pPr>
      <w:spacing w:line="480" w:lineRule="auto"/>
    </w:pPr>
  </w:style>
  <w:style w:type="paragraph" w:styleId="BodyText3">
    <w:name w:val="Body Text 3"/>
    <w:basedOn w:val="Normal"/>
    <w:link w:val="BodyText3Char"/>
    <w:uiPriority w:val="99"/>
    <w:unhideWhenUsed/>
    <w:qFormat/>
    <w:rsid w:val="00AA1D8D"/>
    <w:rPr>
      <w:sz w:val="16"/>
      <w:szCs w:val="16"/>
    </w:rPr>
  </w:style>
  <w:style w:type="paragraph" w:styleId="List2">
    <w:name w:val="List 2"/>
    <w:basedOn w:val="Normal"/>
    <w:uiPriority w:val="99"/>
    <w:unhideWhenUsed/>
    <w:qFormat/>
    <w:rsid w:val="00326F90"/>
    <w:pPr>
      <w:ind w:left="720" w:hanging="360"/>
      <w:contextualSpacing/>
    </w:pPr>
  </w:style>
  <w:style w:type="paragraph" w:styleId="List3">
    <w:name w:val="List 3"/>
    <w:basedOn w:val="Normal"/>
    <w:uiPriority w:val="99"/>
    <w:unhideWhenUsed/>
    <w:qFormat/>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11"/>
      </w:numPr>
      <w:contextualSpacing/>
    </w:pPr>
  </w:style>
  <w:style w:type="paragraph" w:styleId="ListNumber2">
    <w:name w:val="List Number 2"/>
    <w:basedOn w:val="Normal"/>
    <w:uiPriority w:val="99"/>
    <w:unhideWhenUsed/>
    <w:rsid w:val="0029639D"/>
    <w:pPr>
      <w:numPr>
        <w:numId w:val="4"/>
      </w:numPr>
      <w:contextualSpacing/>
    </w:pPr>
  </w:style>
  <w:style w:type="paragraph" w:styleId="ListNumber3">
    <w:name w:val="List Number 3"/>
    <w:basedOn w:val="Normal"/>
    <w:uiPriority w:val="99"/>
    <w:unhideWhenUsed/>
    <w:rsid w:val="0029639D"/>
    <w:pPr>
      <w:numPr>
        <w:numId w:val="5"/>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qFormat/>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paragraph" w:styleId="IndexHeading">
    <w:name w:val="index heading"/>
    <w:basedOn w:val="Heading"/>
  </w:style>
  <w:style w:type="paragraph" w:styleId="TOCHeading">
    <w:name w:val="TOC Heading"/>
    <w:basedOn w:val="Heading1"/>
    <w:next w:val="Normal"/>
    <w:uiPriority w:val="39"/>
    <w:semiHidden/>
    <w:unhideWhenUsed/>
    <w:qFormat/>
    <w:rsid w:val="00FC693F"/>
    <w:pPr>
      <w:outlineLvl w:val="9"/>
    </w:pPr>
  </w:style>
  <w:style w:type="paragraph" w:customStyle="1" w:styleId="Comment">
    <w:name w:val="Comment"/>
    <w:basedOn w:val="Normal"/>
    <w:qFormat/>
    <w:pPr>
      <w:spacing w:before="56" w:after="0" w:line="240" w:lineRule="auto"/>
      <w:ind w:left="57" w:right="57"/>
    </w:pPr>
    <w:rPr>
      <w:color w:val="auto"/>
      <w:sz w:val="20"/>
      <w:szCs w:val="20"/>
    </w:rPr>
  </w:style>
  <w:style w:type="paragraph" w:styleId="CommentText">
    <w:name w:val="annotation text"/>
    <w:basedOn w:val="Normal"/>
    <w:link w:val="CommentTextChar"/>
    <w:uiPriority w:val="99"/>
    <w:unhideWhenUsed/>
    <w:pPr>
      <w:spacing w:line="240" w:lineRule="auto"/>
    </w:pPr>
    <w:rPr>
      <w:sz w:val="20"/>
      <w:szCs w:val="20"/>
    </w:rPr>
  </w:style>
  <w:style w:type="paragraph" w:styleId="Revision">
    <w:name w:val="Revision"/>
    <w:uiPriority w:val="99"/>
    <w:semiHidden/>
    <w:qFormat/>
    <w:rsid w:val="00D00747"/>
    <w:pPr>
      <w:suppressAutoHyphens w:val="0"/>
    </w:pPr>
    <w:rPr>
      <w:rFonts w:ascii="Calibri" w:eastAsia="MS Mincho" w:hAnsi="Calibri"/>
      <w:color w:val="1A1A1A"/>
    </w:rPr>
  </w:style>
  <w:style w:type="paragraph" w:styleId="CommentSubject">
    <w:name w:val="annotation subject"/>
    <w:basedOn w:val="CommentText"/>
    <w:next w:val="CommentText"/>
    <w:link w:val="CommentSubjectChar"/>
    <w:uiPriority w:val="99"/>
    <w:semiHidden/>
    <w:unhideWhenUsed/>
    <w:qFormat/>
    <w:rsid w:val="00D00747"/>
    <w:rPr>
      <w:b/>
      <w:bCs/>
    </w:rPr>
  </w:style>
  <w:style w:type="paragraph" w:customStyle="1" w:styleId="MdSpace">
    <w:name w:val="MdSpace"/>
    <w:qFormat/>
    <w:rsid w:val="00126E64"/>
    <w:pPr>
      <w:suppressAutoHyphens w:val="0"/>
    </w:pPr>
    <w:rPr>
      <w:rFonts w:ascii="Times New Roman" w:eastAsia="Times New Roman" w:hAnsi="Times New Roman" w:cs="Times New Roman"/>
      <w:sz w:val="12"/>
      <w:szCs w:val="12"/>
    </w:rPr>
  </w:style>
  <w:style w:type="paragraph" w:customStyle="1" w:styleId="MdBlockquote">
    <w:name w:val="MdBlockquote"/>
    <w:qFormat/>
    <w:rsid w:val="00126E64"/>
    <w:pPr>
      <w:pBdr>
        <w:left w:val="single" w:sz="20" w:space="12" w:color="A5A5A5"/>
      </w:pBdr>
      <w:suppressAutoHyphens w:val="0"/>
      <w:spacing w:before="200" w:after="200"/>
      <w:ind w:left="360"/>
    </w:pPr>
    <w:rPr>
      <w:rFonts w:ascii="Times New Roman" w:eastAsia="Times New Roman" w:hAnsi="Times New Roman" w:cs="Times New Roman"/>
      <w:i/>
      <w:iCs/>
      <w:color w:val="666666"/>
      <w:sz w:val="24"/>
      <w:szCs w:val="24"/>
    </w:rPr>
  </w:style>
  <w:style w:type="paragraph" w:customStyle="1" w:styleId="MdParagraph">
    <w:name w:val="MdParagraph"/>
    <w:qFormat/>
    <w:rsid w:val="00126E64"/>
    <w:pPr>
      <w:suppressAutoHyphens w:val="0"/>
      <w:spacing w:before="120" w:after="120"/>
    </w:pPr>
    <w:rPr>
      <w:rFonts w:ascii="Times New Roman" w:eastAsia="Times New Roman" w:hAnsi="Times New Roman" w:cs="Times New Roman"/>
      <w:sz w:val="24"/>
      <w:szCs w:val="24"/>
    </w:rPr>
  </w:style>
  <w:style w:type="paragraph" w:customStyle="1" w:styleId="MdTableHeader">
    <w:name w:val="MdTableHeader"/>
    <w:qFormat/>
    <w:rsid w:val="00126E64"/>
    <w:pPr>
      <w:suppressAutoHyphens w:val="0"/>
      <w:spacing w:before="60" w:after="60"/>
    </w:pPr>
    <w:rPr>
      <w:rFonts w:ascii="Times New Roman" w:eastAsia="Times New Roman" w:hAnsi="Times New Roman" w:cs="Times New Roman"/>
      <w:b/>
      <w:bCs/>
    </w:rPr>
  </w:style>
  <w:style w:type="paragraph" w:customStyle="1" w:styleId="MdTableCell">
    <w:name w:val="MdTableCell"/>
    <w:qFormat/>
    <w:rsid w:val="00126E64"/>
    <w:pPr>
      <w:suppressAutoHyphens w:val="0"/>
      <w:spacing w:before="40" w:after="40"/>
    </w:pPr>
    <w:rPr>
      <w:rFonts w:ascii="Times New Roman" w:eastAsia="Times New Roman" w:hAnsi="Times New Roman" w:cs="Times New Roman"/>
      <w:sz w:val="20"/>
      <w:szCs w:val="20"/>
    </w:rPr>
  </w:style>
  <w:style w:type="paragraph" w:customStyle="1" w:styleId="MdHeading1">
    <w:name w:val="MdHeading1"/>
    <w:qFormat/>
    <w:rsid w:val="00126E64"/>
    <w:pPr>
      <w:keepNext/>
      <w:suppressAutoHyphens w:val="0"/>
      <w:spacing w:before="480" w:after="240"/>
      <w:outlineLvl w:val="0"/>
    </w:pPr>
    <w:rPr>
      <w:rFonts w:ascii="Times New Roman" w:eastAsia="Times New Roman" w:hAnsi="Times New Roman" w:cs="Times New Roman"/>
      <w:b/>
      <w:bCs/>
      <w:sz w:val="36"/>
      <w:szCs w:val="36"/>
    </w:rPr>
  </w:style>
  <w:style w:type="paragraph" w:customStyle="1" w:styleId="MdHeading2">
    <w:name w:val="MdHeading2"/>
    <w:qFormat/>
    <w:rsid w:val="00126E64"/>
    <w:pPr>
      <w:keepNext/>
      <w:suppressAutoHyphens w:val="0"/>
      <w:spacing w:before="400" w:after="200"/>
      <w:outlineLvl w:val="1"/>
    </w:pPr>
    <w:rPr>
      <w:rFonts w:ascii="Times New Roman" w:eastAsia="Times New Roman" w:hAnsi="Times New Roman" w:cs="Times New Roman"/>
      <w:b/>
      <w:bCs/>
      <w:sz w:val="32"/>
      <w:szCs w:val="32"/>
    </w:rPr>
  </w:style>
  <w:style w:type="paragraph" w:styleId="TOC2">
    <w:name w:val="toc 2"/>
    <w:basedOn w:val="Index"/>
    <w:uiPriority w:val="39"/>
    <w:pPr>
      <w:tabs>
        <w:tab w:val="right" w:leader="dot" w:pos="8357"/>
      </w:tabs>
      <w:ind w:left="283"/>
    </w:pPr>
  </w:style>
  <w:style w:type="paragraph" w:styleId="TOC3">
    <w:name w:val="toc 3"/>
    <w:basedOn w:val="Index"/>
    <w:uiPriority w:val="39"/>
    <w:pPr>
      <w:tabs>
        <w:tab w:val="right" w:leader="dot" w:pos="8073"/>
      </w:tabs>
      <w:ind w:left="567"/>
    </w:pPr>
  </w:style>
  <w:style w:type="paragraph" w:styleId="TOC1">
    <w:name w:val="toc 1"/>
    <w:basedOn w:val="Index"/>
    <w:uiPriority w:val="39"/>
    <w:pPr>
      <w:tabs>
        <w:tab w:val="right" w:leader="dot" w:pos="8640"/>
      </w:tabs>
    </w:pPr>
  </w:style>
  <w:style w:type="table" w:styleId="TableGrid">
    <w:name w:val="Table Grid"/>
    <w:basedOn w:val="TableNormal"/>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dTable5Dark-Accent5">
    <w:name w:val="Grid Table 5 Dark Accent 5"/>
    <w:basedOn w:val="TableNormal"/>
    <w:uiPriority w:val="50"/>
    <w:rsid w:val="00331BD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paragraph" w:styleId="TOC4">
    <w:name w:val="toc 4"/>
    <w:basedOn w:val="Normal"/>
    <w:next w:val="Normal"/>
    <w:autoRedefine/>
    <w:uiPriority w:val="39"/>
    <w:unhideWhenUsed/>
    <w:rsid w:val="00D83ADD"/>
    <w:pPr>
      <w:suppressAutoHyphens w:val="0"/>
      <w:spacing w:after="100" w:line="278" w:lineRule="auto"/>
      <w:ind w:left="720"/>
    </w:pPr>
    <w:rPr>
      <w:rFonts w:asciiTheme="minorHAnsi" w:eastAsiaTheme="minorEastAsia" w:hAnsiTheme="minorHAnsi"/>
      <w:color w:val="auto"/>
      <w:kern w:val="2"/>
      <w:sz w:val="24"/>
      <w:szCs w:val="24"/>
      <w:lang w:val="en-GB" w:eastAsia="en-GB"/>
      <w14:ligatures w14:val="standardContextual"/>
    </w:rPr>
  </w:style>
  <w:style w:type="paragraph" w:styleId="TOC5">
    <w:name w:val="toc 5"/>
    <w:basedOn w:val="Normal"/>
    <w:next w:val="Normal"/>
    <w:autoRedefine/>
    <w:uiPriority w:val="39"/>
    <w:unhideWhenUsed/>
    <w:rsid w:val="00D83ADD"/>
    <w:pPr>
      <w:suppressAutoHyphens w:val="0"/>
      <w:spacing w:after="100" w:line="278" w:lineRule="auto"/>
      <w:ind w:left="960"/>
    </w:pPr>
    <w:rPr>
      <w:rFonts w:asciiTheme="minorHAnsi" w:eastAsiaTheme="minorEastAsia" w:hAnsiTheme="minorHAnsi"/>
      <w:color w:val="auto"/>
      <w:kern w:val="2"/>
      <w:sz w:val="24"/>
      <w:szCs w:val="24"/>
      <w:lang w:val="en-GB" w:eastAsia="en-GB"/>
      <w14:ligatures w14:val="standardContextual"/>
    </w:rPr>
  </w:style>
  <w:style w:type="paragraph" w:styleId="TOC6">
    <w:name w:val="toc 6"/>
    <w:basedOn w:val="Normal"/>
    <w:next w:val="Normal"/>
    <w:autoRedefine/>
    <w:uiPriority w:val="39"/>
    <w:unhideWhenUsed/>
    <w:rsid w:val="00D83ADD"/>
    <w:pPr>
      <w:suppressAutoHyphens w:val="0"/>
      <w:spacing w:after="100" w:line="278" w:lineRule="auto"/>
      <w:ind w:left="1200"/>
    </w:pPr>
    <w:rPr>
      <w:rFonts w:asciiTheme="minorHAnsi" w:eastAsiaTheme="minorEastAsia" w:hAnsiTheme="minorHAnsi"/>
      <w:color w:val="auto"/>
      <w:kern w:val="2"/>
      <w:sz w:val="24"/>
      <w:szCs w:val="24"/>
      <w:lang w:val="en-GB" w:eastAsia="en-GB"/>
      <w14:ligatures w14:val="standardContextual"/>
    </w:rPr>
  </w:style>
  <w:style w:type="paragraph" w:styleId="TOC7">
    <w:name w:val="toc 7"/>
    <w:basedOn w:val="Normal"/>
    <w:next w:val="Normal"/>
    <w:autoRedefine/>
    <w:uiPriority w:val="39"/>
    <w:unhideWhenUsed/>
    <w:rsid w:val="00D83ADD"/>
    <w:pPr>
      <w:suppressAutoHyphens w:val="0"/>
      <w:spacing w:after="100" w:line="278" w:lineRule="auto"/>
      <w:ind w:left="1440"/>
    </w:pPr>
    <w:rPr>
      <w:rFonts w:asciiTheme="minorHAnsi" w:eastAsiaTheme="minorEastAsia" w:hAnsiTheme="minorHAnsi"/>
      <w:color w:val="auto"/>
      <w:kern w:val="2"/>
      <w:sz w:val="24"/>
      <w:szCs w:val="24"/>
      <w:lang w:val="en-GB" w:eastAsia="en-GB"/>
      <w14:ligatures w14:val="standardContextual"/>
    </w:rPr>
  </w:style>
  <w:style w:type="paragraph" w:styleId="TOC8">
    <w:name w:val="toc 8"/>
    <w:basedOn w:val="Normal"/>
    <w:next w:val="Normal"/>
    <w:autoRedefine/>
    <w:uiPriority w:val="39"/>
    <w:unhideWhenUsed/>
    <w:rsid w:val="00D83ADD"/>
    <w:pPr>
      <w:suppressAutoHyphens w:val="0"/>
      <w:spacing w:after="100" w:line="278" w:lineRule="auto"/>
      <w:ind w:left="1680"/>
    </w:pPr>
    <w:rPr>
      <w:rFonts w:asciiTheme="minorHAnsi" w:eastAsiaTheme="minorEastAsia" w:hAnsiTheme="minorHAnsi"/>
      <w:color w:val="auto"/>
      <w:kern w:val="2"/>
      <w:sz w:val="24"/>
      <w:szCs w:val="24"/>
      <w:lang w:val="en-GB" w:eastAsia="en-GB"/>
      <w14:ligatures w14:val="standardContextual"/>
    </w:rPr>
  </w:style>
  <w:style w:type="paragraph" w:styleId="TOC9">
    <w:name w:val="toc 9"/>
    <w:basedOn w:val="Normal"/>
    <w:next w:val="Normal"/>
    <w:autoRedefine/>
    <w:uiPriority w:val="39"/>
    <w:unhideWhenUsed/>
    <w:rsid w:val="00D83ADD"/>
    <w:pPr>
      <w:suppressAutoHyphens w:val="0"/>
      <w:spacing w:after="100" w:line="278" w:lineRule="auto"/>
      <w:ind w:left="1920"/>
    </w:pPr>
    <w:rPr>
      <w:rFonts w:asciiTheme="minorHAnsi" w:eastAsiaTheme="minorEastAsia" w:hAnsiTheme="minorHAnsi"/>
      <w:color w:val="auto"/>
      <w:kern w:val="2"/>
      <w:sz w:val="24"/>
      <w:szCs w:val="24"/>
      <w:lang w:val="en-GB" w:eastAsia="en-GB"/>
      <w14:ligatures w14:val="standardContextual"/>
    </w:rPr>
  </w:style>
  <w:style w:type="character" w:customStyle="1" w:styleId="UnresolvedMention">
    <w:name w:val="Unresolved Mention"/>
    <w:basedOn w:val="DefaultParagraphFont"/>
    <w:uiPriority w:val="99"/>
    <w:semiHidden/>
    <w:unhideWhenUsed/>
    <w:rsid w:val="00D83A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7.xml"/><Relationship Id="rId26" Type="http://schemas.openxmlformats.org/officeDocument/2006/relationships/footer" Target="footer15.xml"/><Relationship Id="rId3" Type="http://schemas.openxmlformats.org/officeDocument/2006/relationships/styles" Target="styles.xml"/><Relationship Id="rId21"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6.xml"/><Relationship Id="rId25" Type="http://schemas.openxmlformats.org/officeDocument/2006/relationships/footer" Target="footer14.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13.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12.xm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3.xml"/><Relationship Id="rId22" Type="http://schemas.openxmlformats.org/officeDocument/2006/relationships/footer" Target="footer11.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4C65B6-2099-489A-A8DB-8A38CAB940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104</Pages>
  <Words>34869</Words>
  <Characters>198756</Characters>
  <Application>Microsoft Office Word</Application>
  <DocSecurity>0</DocSecurity>
  <Lines>1656</Lines>
  <Paragraphs>466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Мирослав Гроздановски</dc:creator>
  <cp:lastModifiedBy>Ana Sterjovska</cp:lastModifiedBy>
  <cp:revision>2</cp:revision>
  <dcterms:created xsi:type="dcterms:W3CDTF">2026-10-28T07:37:00Z</dcterms:created>
  <dcterms:modified xsi:type="dcterms:W3CDTF">2026-10-28T07:37:00Z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2026-09-17T09:22:00Z</dcterms:created>
  <dc:creator>Martin Kiselicki</dc:creator>
  <dc:description/>
  <dc:language>en-US</dc:language>
  <cp:lastModifiedBy/>
  <dcterms:modified xsi:type="dcterms:W3CDTF">2026-10-17T14:40:20Z</dcterms:modified>
  <cp:revision>9</cp:revision>
  <dc:subject/>
  <dc:title/>
</cp:coreProperties>
</file>